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84AA3DF" wp14:paraId="79A38ECA" wp14:textId="48F4907D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84AA3DF" w:rsidR="52DBD0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Overarching Objective</w:t>
      </w:r>
      <w:r w:rsidRPr="484AA3DF" w:rsidR="1CE199E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</w:t>
      </w:r>
      <w:r w:rsidRPr="484AA3DF" w:rsidR="52DBD0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of the </w:t>
      </w:r>
      <w:r w:rsidRPr="484AA3DF" w:rsidR="1FC41CB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proposed </w:t>
      </w:r>
      <w:r w:rsidRPr="484AA3DF" w:rsidR="52DBD0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new GE pattern due to Title 5 Changes</w:t>
      </w:r>
      <w:r w:rsidRPr="484AA3DF" w:rsidR="52DBD0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xmlns:wp14="http://schemas.microsoft.com/office/word/2010/wordml" w:rsidP="66270A63" wp14:paraId="1C591B46" wp14:textId="648EF0B0">
      <w:pPr>
        <w:pStyle w:val="ListParagraph"/>
        <w:numPr>
          <w:ilvl w:val="0"/>
          <w:numId w:val="2"/>
        </w:num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6270A63" w:rsidR="1513228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To provide students with a direct route to graduation, with clear course choices </w:t>
      </w:r>
      <w:r w:rsidRPr="66270A63" w:rsidR="4698E09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to enable them to have easier transitions </w:t>
      </w:r>
      <w:r w:rsidRPr="66270A63" w:rsidR="2C51E99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 case of changes in academic goals. </w:t>
      </w:r>
    </w:p>
    <w:p xmlns:wp14="http://schemas.microsoft.com/office/word/2010/wordml" w:rsidP="66270A63" wp14:paraId="1858D36F" wp14:textId="107CF3A2">
      <w:pPr>
        <w:pStyle w:val="ListParagraph"/>
        <w:numPr>
          <w:ilvl w:val="0"/>
          <w:numId w:val="2"/>
        </w:num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6270A63" w:rsidR="0CB9365F">
        <w:rPr>
          <w:rFonts w:ascii="Aptos" w:hAnsi="Aptos" w:eastAsia="Aptos" w:cs="Aptos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 xml:space="preserve">To align the local GE pattern areas numerically and topically with the Cal-GETC areas so that students would have an easier time navigating between the patterns to </w:t>
      </w:r>
      <w:bookmarkStart w:name="_Int_tZpHxi3s" w:id="1032259858"/>
      <w:r w:rsidRPr="66270A63" w:rsidR="0CB9365F">
        <w:rPr>
          <w:rFonts w:ascii="Aptos" w:hAnsi="Aptos" w:eastAsia="Aptos" w:cs="Aptos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>compare and contrast</w:t>
      </w:r>
      <w:bookmarkEnd w:id="1032259858"/>
      <w:r w:rsidRPr="66270A63" w:rsidR="0CB9365F">
        <w:rPr>
          <w:rFonts w:ascii="Aptos" w:hAnsi="Aptos" w:eastAsia="Aptos" w:cs="Aptos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 xml:space="preserve"> course requirements.</w:t>
      </w:r>
    </w:p>
    <w:p xmlns:wp14="http://schemas.microsoft.com/office/word/2010/wordml" w:rsidP="3456D772" wp14:paraId="6438B772" wp14:textId="47CCAD5D">
      <w:pPr>
        <w:pStyle w:val="ListParagraph"/>
        <w:numPr>
          <w:ilvl w:val="0"/>
          <w:numId w:val="2"/>
        </w:numPr>
        <w:spacing w:after="160" w:line="279" w:lineRule="auto"/>
        <w:ind/>
        <w:rPr>
          <w:rFonts w:ascii="Aptos" w:hAnsi="Aptos" w:eastAsia="" w:cs="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</w:pPr>
      <w:r w:rsidRPr="484AA3DF" w:rsidR="50C176C6">
        <w:rPr>
          <w:rFonts w:ascii="Aptos" w:hAnsi="Aptos" w:eastAsia="" w:cs="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>To integrate the reading, writing, and math competencies into the GE pattern so that separate title 5 competency requirements would not be necessary.</w:t>
      </w:r>
    </w:p>
    <w:p w:rsidR="307EC159" w:rsidP="484AA3DF" w:rsidRDefault="307EC159" w14:paraId="6B77F899" w14:textId="402CB082">
      <w:pPr>
        <w:pStyle w:val="Normal"/>
        <w:spacing w:after="160" w:line="279" w:lineRule="auto"/>
        <w:rPr>
          <w:rFonts w:ascii="Aptos" w:hAnsi="Aptos" w:eastAsia="" w:cs="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</w:pPr>
      <w:hyperlink r:id="R6c2f690801b04f37">
        <w:r w:rsidRPr="484AA3DF" w:rsidR="307EC159">
          <w:rPr>
            <w:rStyle w:val="Hyperlink"/>
            <w:rFonts w:ascii="Aptos" w:hAnsi="Aptos" w:eastAsia="" w:cs="" w:asciiTheme="minorAscii" w:hAnsiTheme="minorAscii" w:eastAsiaTheme="minorEastAsia" w:cstheme="minorBid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 w:eastAsia="ja-JP" w:bidi="ar-SA"/>
          </w:rPr>
          <w:t>Go to final revisions to Title 5 updates</w:t>
        </w:r>
      </w:hyperlink>
      <w:r w:rsidRPr="484AA3DF" w:rsidR="307EC159">
        <w:rPr>
          <w:rFonts w:ascii="Aptos" w:hAnsi="Aptos" w:eastAsia="" w:cs="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 xml:space="preserve">. 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9360"/>
      </w:tblGrid>
      <w:tr w:rsidR="66270A63" w:rsidTr="484AA3DF" w14:paraId="7A6D2DC8">
        <w:trPr>
          <w:trHeight w:val="300"/>
        </w:trPr>
        <w:tc>
          <w:tcPr>
            <w:tcW w:w="93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4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6270A63" w:rsidP="3456D772" w:rsidRDefault="66270A63" w14:paraId="0DAD14FB" w14:textId="5438BEA8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D772" w:rsidR="3F947A67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Area 1 English Composition, Oral Communication, and Critical Thinking (10 units)</w:t>
            </w:r>
          </w:p>
        </w:tc>
      </w:tr>
      <w:tr w:rsidR="66270A63" w:rsidTr="484AA3DF" w14:paraId="6618576F">
        <w:trPr>
          <w:trHeight w:val="300"/>
        </w:trPr>
        <w:tc>
          <w:tcPr>
            <w:tcW w:w="9360" w:type="dxa"/>
            <w:tcBorders>
              <w:top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6270A63" w:rsidP="66270A63" w:rsidRDefault="66270A63" w14:paraId="46C4D757" w14:textId="2A847EBF">
            <w:pPr>
              <w:pStyle w:val="ListParagraph"/>
              <w:numPr>
                <w:ilvl w:val="0"/>
                <w:numId w:val="3"/>
              </w:num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6270A63" w:rsidR="66270A6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English Composition</w:t>
            </w:r>
          </w:p>
        </w:tc>
      </w:tr>
      <w:tr w:rsidR="66270A63" w:rsidTr="484AA3DF" w14:paraId="34549150">
        <w:trPr>
          <w:trHeight w:val="300"/>
        </w:trPr>
        <w:tc>
          <w:tcPr>
            <w:tcW w:w="9360" w:type="dxa"/>
            <w:tcMar>
              <w:left w:w="105" w:type="dxa"/>
              <w:right w:w="105" w:type="dxa"/>
            </w:tcMar>
            <w:vAlign w:val="top"/>
          </w:tcPr>
          <w:p w:rsidR="66270A63" w:rsidP="3456D772" w:rsidRDefault="66270A63" w14:paraId="2B57B1D6" w14:textId="6C7BA8E3">
            <w:pPr>
              <w:pStyle w:val="ListParagraph"/>
              <w:numPr>
                <w:ilvl w:val="0"/>
                <w:numId w:val="3"/>
              </w:num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D772" w:rsidR="3F947A67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Oral Communication and Critical Thinking</w:t>
            </w:r>
          </w:p>
          <w:p w:rsidR="66270A63" w:rsidP="3456D772" w:rsidRDefault="66270A63" w14:paraId="147376EF" w14:textId="6691C258">
            <w:pPr>
              <w:pStyle w:val="Normal"/>
              <w:spacing w:line="279" w:lineRule="auto"/>
              <w:ind w:left="0"/>
              <w:rPr>
                <w:rFonts w:ascii="Aptos" w:hAnsi="Aptos" w:eastAsia="Aptos" w:cs="Aptos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456D772" w:rsidR="5E22E1E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C</w:t>
            </w:r>
            <w:r w:rsidRPr="3456D772" w:rsidR="784F9C8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OMM</w:t>
            </w:r>
            <w:r w:rsidRPr="3456D772" w:rsidR="5E22E1E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8, 8H, 9</w:t>
            </w:r>
            <w:r w:rsidRPr="3456D772" w:rsidR="40B11867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, 9H, 15, 15H, E</w:t>
            </w:r>
            <w:r w:rsidRPr="3456D772" w:rsidR="372E915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WRT</w:t>
            </w:r>
            <w:r w:rsidRPr="3456D772" w:rsidR="40B11867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2, 2H,</w:t>
            </w:r>
            <w:r w:rsidRPr="3456D772" w:rsidR="1CFF797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456D772" w:rsidR="1CFF797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P</w:t>
            </w:r>
            <w:r w:rsidRPr="3456D772" w:rsidR="4B76768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HIL</w:t>
            </w:r>
            <w:r w:rsidRPr="3456D772" w:rsidR="71CB6A0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456D772" w:rsidR="1CFF797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3, 4, R</w:t>
            </w:r>
            <w:r w:rsidRPr="3456D772" w:rsidR="5C63CA75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EAD</w:t>
            </w:r>
            <w:r w:rsidRPr="3456D772" w:rsidR="1CFF797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10</w:t>
            </w:r>
            <w:r w:rsidRPr="3456D772" w:rsidR="0E8838F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.</w:t>
            </w:r>
            <w:r w:rsidRPr="3456D772" w:rsidR="17A504F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456D772" w:rsidR="403E8D08">
              <w:rPr>
                <w:rFonts w:ascii="Aptos" w:hAnsi="Aptos" w:eastAsia="Aptos" w:cs="Aptos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I</w:t>
            </w:r>
            <w:r w:rsidRPr="3456D772" w:rsidR="17A504F1">
              <w:rPr>
                <w:rFonts w:ascii="Aptos" w:hAnsi="Aptos" w:eastAsia="Aptos" w:cs="Aptos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nformation literacy courses have moved to Area 2</w:t>
            </w:r>
          </w:p>
        </w:tc>
      </w:tr>
      <w:tr w:rsidR="3456D772" w:rsidTr="484AA3DF" w14:paraId="6FDBE889">
        <w:trPr>
          <w:trHeight w:val="300"/>
        </w:trPr>
        <w:tc>
          <w:tcPr>
            <w:tcW w:w="9360" w:type="dxa"/>
            <w:tcMar>
              <w:left w:w="105" w:type="dxa"/>
              <w:right w:w="105" w:type="dxa"/>
            </w:tcMar>
            <w:vAlign w:val="top"/>
          </w:tcPr>
          <w:p w:rsidR="3456D772" w:rsidP="3456D772" w:rsidRDefault="3456D772" w14:paraId="411DE5A3" w14:textId="5B6FEBEB">
            <w:pPr>
              <w:pStyle w:val="Normal"/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66270A63" w:rsidTr="484AA3DF" w14:paraId="1B3A1EBC">
        <w:trPr>
          <w:trHeight w:val="300"/>
        </w:trPr>
        <w:tc>
          <w:tcPr>
            <w:tcW w:w="9360" w:type="dxa"/>
            <w:shd w:val="clear" w:color="auto" w:fill="FFC000"/>
            <w:tcMar>
              <w:left w:w="105" w:type="dxa"/>
              <w:right w:w="105" w:type="dxa"/>
            </w:tcMar>
            <w:vAlign w:val="top"/>
          </w:tcPr>
          <w:p w:rsidR="66270A63" w:rsidP="3456D772" w:rsidRDefault="66270A63" w14:paraId="61F0A6CD" w14:textId="5F4F950D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D772" w:rsidR="3F947A67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Area 2 Mathematical Concepts and Quantitative Reasoning (4 units)</w:t>
            </w:r>
          </w:p>
        </w:tc>
      </w:tr>
      <w:tr w:rsidR="66270A63" w:rsidTr="484AA3DF" w14:paraId="2BCE4185">
        <w:trPr>
          <w:trHeight w:val="300"/>
        </w:trPr>
        <w:tc>
          <w:tcPr>
            <w:tcW w:w="9360" w:type="dxa"/>
            <w:tcMar>
              <w:left w:w="105" w:type="dxa"/>
              <w:right w:w="105" w:type="dxa"/>
            </w:tcMar>
            <w:vAlign w:val="top"/>
          </w:tcPr>
          <w:p w:rsidR="7EA62CDD" w:rsidP="484AA3DF" w:rsidRDefault="7EA62CDD" w14:paraId="2A41FC38" w14:textId="29FE5C41">
            <w:pPr>
              <w:pStyle w:val="Normal"/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84AA3DF" w:rsidR="07E764D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Math1A, 1B, 1C, 1D, 2A, 2B,10, 11, 12, 22, 23, 31, 32, 44, Math/Educ 46, </w:t>
            </w:r>
            <w:r w:rsidRPr="484AA3DF" w:rsidR="2E9D1FA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114, </w:t>
            </w:r>
            <w:r w:rsidRPr="484AA3DF" w:rsidR="2E9D1FA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SOC/P</w:t>
            </w:r>
            <w:r w:rsidRPr="484AA3DF" w:rsidR="7149609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SYC 15</w:t>
            </w:r>
            <w:r w:rsidRPr="484AA3DF" w:rsidR="6AD7F4B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, PHIL 7 (All honors version if applicable)</w:t>
            </w:r>
          </w:p>
        </w:tc>
      </w:tr>
      <w:tr w:rsidR="3456D772" w:rsidTr="484AA3DF" w14:paraId="725426EA">
        <w:trPr>
          <w:trHeight w:val="300"/>
        </w:trPr>
        <w:tc>
          <w:tcPr>
            <w:tcW w:w="9360" w:type="dxa"/>
            <w:tcMar>
              <w:left w:w="105" w:type="dxa"/>
              <w:right w:w="105" w:type="dxa"/>
            </w:tcMar>
            <w:vAlign w:val="top"/>
          </w:tcPr>
          <w:p w:rsidR="3456D772" w:rsidP="3456D772" w:rsidRDefault="3456D772" w14:paraId="01791B29" w14:textId="480D2776">
            <w:pPr>
              <w:pStyle w:val="Normal"/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66270A63" w:rsidTr="484AA3DF" w14:paraId="4F271C00">
        <w:trPr>
          <w:trHeight w:val="300"/>
        </w:trPr>
        <w:tc>
          <w:tcPr>
            <w:tcW w:w="9360" w:type="dxa"/>
            <w:tcMar>
              <w:left w:w="105" w:type="dxa"/>
              <w:right w:w="105" w:type="dxa"/>
            </w:tcMar>
            <w:vAlign w:val="top"/>
          </w:tcPr>
          <w:p w:rsidR="66270A63" w:rsidP="3456D772" w:rsidRDefault="66270A63" w14:paraId="0C4789EF" w14:textId="3B0B81A0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D772" w:rsidR="3F947A67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Area 3 Arts and Humanities (</w:t>
            </w:r>
            <w:r w:rsidRPr="3456D772" w:rsidR="6A1C029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8</w:t>
            </w:r>
            <w:r w:rsidRPr="3456D772" w:rsidR="3F947A67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units)</w:t>
            </w:r>
          </w:p>
        </w:tc>
      </w:tr>
      <w:tr w:rsidR="66270A63" w:rsidTr="484AA3DF" w14:paraId="59E47B7A">
        <w:trPr>
          <w:trHeight w:val="300"/>
        </w:trPr>
        <w:tc>
          <w:tcPr>
            <w:tcW w:w="9360" w:type="dxa"/>
            <w:tcMar>
              <w:left w:w="105" w:type="dxa"/>
              <w:right w:w="105" w:type="dxa"/>
            </w:tcMar>
            <w:vAlign w:val="top"/>
          </w:tcPr>
          <w:p w:rsidR="66270A63" w:rsidP="3456D772" w:rsidRDefault="66270A63" w14:paraId="078A476C" w14:textId="77188DAC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D772" w:rsidR="26A4353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Select one course from Arts and one course from Humanities</w:t>
            </w:r>
            <w:r w:rsidRPr="3456D772" w:rsidR="4CFB6C2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. S</w:t>
            </w:r>
            <w:r w:rsidRPr="3456D772" w:rsidR="3B7EC0FD">
              <w:rPr>
                <w:rFonts w:ascii="Aptos" w:hAnsi="Aptos" w:eastAsia="Aptos" w:cs="Aptos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ome ethnic studies courses have moved to Area 6</w:t>
            </w:r>
          </w:p>
        </w:tc>
      </w:tr>
      <w:tr w:rsidR="3456D772" w:rsidTr="484AA3DF" w14:paraId="19133BDA">
        <w:trPr>
          <w:trHeight w:val="300"/>
        </w:trPr>
        <w:tc>
          <w:tcPr>
            <w:tcW w:w="9360" w:type="dxa"/>
            <w:tcMar>
              <w:left w:w="105" w:type="dxa"/>
              <w:right w:w="105" w:type="dxa"/>
            </w:tcMar>
            <w:vAlign w:val="top"/>
          </w:tcPr>
          <w:p w:rsidR="3456D772" w:rsidP="3456D772" w:rsidRDefault="3456D772" w14:paraId="41958724" w14:textId="4AFD7825">
            <w:pPr>
              <w:pStyle w:val="Normal"/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66270A63" w:rsidTr="484AA3DF" w14:paraId="7D7C57D7">
        <w:trPr>
          <w:trHeight w:val="300"/>
        </w:trPr>
        <w:tc>
          <w:tcPr>
            <w:tcW w:w="9360" w:type="dxa"/>
            <w:tcMar>
              <w:left w:w="105" w:type="dxa"/>
              <w:right w:w="105" w:type="dxa"/>
            </w:tcMar>
            <w:vAlign w:val="top"/>
          </w:tcPr>
          <w:p w:rsidR="66270A63" w:rsidP="3456D772" w:rsidRDefault="66270A63" w14:paraId="37140AA7" w14:textId="72AFD635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D772" w:rsidR="3F947A67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Area 4 Social and Behavioral Sciences (</w:t>
            </w:r>
            <w:r w:rsidRPr="3456D772" w:rsidR="4B46153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8</w:t>
            </w:r>
            <w:r w:rsidRPr="3456D772" w:rsidR="3F947A67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units)</w:t>
            </w:r>
          </w:p>
        </w:tc>
      </w:tr>
      <w:tr w:rsidR="66270A63" w:rsidTr="484AA3DF" w14:paraId="43F464CF">
        <w:trPr>
          <w:trHeight w:val="300"/>
        </w:trPr>
        <w:tc>
          <w:tcPr>
            <w:tcW w:w="9360" w:type="dxa"/>
            <w:tcMar>
              <w:left w:w="105" w:type="dxa"/>
              <w:right w:w="105" w:type="dxa"/>
            </w:tcMar>
            <w:vAlign w:val="top"/>
          </w:tcPr>
          <w:p w:rsidR="66270A63" w:rsidP="3456D772" w:rsidRDefault="66270A63" w14:paraId="73CDEE55" w14:textId="290DED51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D772" w:rsidR="2CB8F9FF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Select two courses</w:t>
            </w:r>
            <w:r w:rsidRPr="3456D772" w:rsidR="14A1C01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. </w:t>
            </w:r>
            <w:r w:rsidRPr="3456D772" w:rsidR="14EECF54">
              <w:rPr>
                <w:rFonts w:ascii="Aptos" w:hAnsi="Aptos" w:eastAsia="Aptos" w:cs="Aptos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Some ethnic studies courses have moved to Area 6</w:t>
            </w:r>
          </w:p>
        </w:tc>
      </w:tr>
      <w:tr w:rsidR="3456D772" w:rsidTr="484AA3DF" w14:paraId="79085920">
        <w:trPr>
          <w:trHeight w:val="300"/>
        </w:trPr>
        <w:tc>
          <w:tcPr>
            <w:tcW w:w="9360" w:type="dxa"/>
            <w:tcMar>
              <w:left w:w="105" w:type="dxa"/>
              <w:right w:w="105" w:type="dxa"/>
            </w:tcMar>
            <w:vAlign w:val="top"/>
          </w:tcPr>
          <w:p w:rsidR="3456D772" w:rsidP="3456D772" w:rsidRDefault="3456D772" w14:paraId="2AE885DB" w14:textId="2DEE4DFC">
            <w:pPr>
              <w:pStyle w:val="Normal"/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66270A63" w:rsidTr="484AA3DF" w14:paraId="77847592">
        <w:trPr>
          <w:trHeight w:val="300"/>
        </w:trPr>
        <w:tc>
          <w:tcPr>
            <w:tcW w:w="9360" w:type="dxa"/>
            <w:tcMar>
              <w:left w:w="105" w:type="dxa"/>
              <w:right w:w="105" w:type="dxa"/>
            </w:tcMar>
            <w:vAlign w:val="top"/>
          </w:tcPr>
          <w:p w:rsidR="66270A63" w:rsidP="66270A63" w:rsidRDefault="66270A63" w14:paraId="11F991D4" w14:textId="4BD239C5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6270A63" w:rsidR="66270A6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Area 5 Natural Sciences (4 units)</w:t>
            </w:r>
          </w:p>
        </w:tc>
      </w:tr>
      <w:tr w:rsidR="66270A63" w:rsidTr="484AA3DF" w14:paraId="0283F86E">
        <w:trPr>
          <w:trHeight w:val="300"/>
        </w:trPr>
        <w:tc>
          <w:tcPr>
            <w:tcW w:w="9360" w:type="dxa"/>
            <w:tcMar>
              <w:left w:w="105" w:type="dxa"/>
              <w:right w:w="105" w:type="dxa"/>
            </w:tcMar>
            <w:vAlign w:val="top"/>
          </w:tcPr>
          <w:p w:rsidR="66270A63" w:rsidP="66270A63" w:rsidRDefault="66270A63" w14:paraId="5D47DDFD" w14:textId="32134B8F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66270A63" w:rsidTr="484AA3DF" w14:paraId="38D27D9C">
        <w:trPr>
          <w:trHeight w:val="300"/>
        </w:trPr>
        <w:tc>
          <w:tcPr>
            <w:tcW w:w="9360" w:type="dxa"/>
            <w:shd w:val="clear" w:color="auto" w:fill="FFC000"/>
            <w:tcMar>
              <w:left w:w="105" w:type="dxa"/>
              <w:right w:w="105" w:type="dxa"/>
            </w:tcMar>
            <w:vAlign w:val="top"/>
          </w:tcPr>
          <w:p w:rsidR="66270A63" w:rsidP="66270A63" w:rsidRDefault="66270A63" w14:paraId="46454BBA" w14:textId="71CB5DA4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6270A63" w:rsidR="66270A6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Area 6 Ethnic Studies (4 units)</w:t>
            </w:r>
          </w:p>
        </w:tc>
      </w:tr>
      <w:tr w:rsidR="66270A63" w:rsidTr="484AA3DF" w14:paraId="64D79ABD">
        <w:trPr>
          <w:trHeight w:val="300"/>
        </w:trPr>
        <w:tc>
          <w:tcPr>
            <w:tcW w:w="9360" w:type="dxa"/>
            <w:tcMar>
              <w:left w:w="105" w:type="dxa"/>
              <w:right w:w="105" w:type="dxa"/>
            </w:tcMar>
            <w:vAlign w:val="top"/>
          </w:tcPr>
          <w:p w:rsidR="015C627B" w:rsidP="66270A63" w:rsidRDefault="015C627B" w14:paraId="607C0ADA" w14:textId="492EEEDF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6270A63" w:rsidR="015C627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AFAM 10, </w:t>
            </w:r>
            <w:r w:rsidRPr="66270A63" w:rsidR="400147AC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AFAM </w:t>
            </w:r>
            <w:r w:rsidRPr="66270A63" w:rsidR="015C627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11, CETH 10, CETH/ADMJ 29, ASAM 11, NAIS 12, CHLX 10</w:t>
            </w:r>
          </w:p>
        </w:tc>
      </w:tr>
      <w:tr w:rsidR="3456D772" w:rsidTr="484AA3DF" w14:paraId="39033EB1">
        <w:trPr>
          <w:trHeight w:val="300"/>
        </w:trPr>
        <w:tc>
          <w:tcPr>
            <w:tcW w:w="9360" w:type="dxa"/>
            <w:tcMar>
              <w:left w:w="105" w:type="dxa"/>
              <w:right w:w="105" w:type="dxa"/>
            </w:tcMar>
            <w:vAlign w:val="top"/>
          </w:tcPr>
          <w:p w:rsidR="3456D772" w:rsidP="3456D772" w:rsidRDefault="3456D772" w14:paraId="0DC53CBA" w14:textId="17FE4447">
            <w:pPr>
              <w:pStyle w:val="Normal"/>
              <w:spacing w:line="279" w:lineRule="auto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66270A63" w:rsidTr="484AA3DF" w14:paraId="02F8DDBE">
        <w:trPr>
          <w:trHeight w:val="300"/>
        </w:trPr>
        <w:tc>
          <w:tcPr>
            <w:tcW w:w="9360" w:type="dxa"/>
            <w:shd w:val="clear" w:color="auto" w:fill="FFC000"/>
            <w:tcMar>
              <w:left w:w="105" w:type="dxa"/>
              <w:right w:w="105" w:type="dxa"/>
            </w:tcMar>
            <w:vAlign w:val="top"/>
          </w:tcPr>
          <w:p w:rsidR="66270A63" w:rsidP="3456D772" w:rsidRDefault="66270A63" w14:paraId="6A22DE5C" w14:textId="26669BE3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D772" w:rsidR="3F947A67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Area 7 Physical/Mental Wellness and Personal Development (2 units)</w:t>
            </w:r>
          </w:p>
        </w:tc>
      </w:tr>
      <w:tr w:rsidR="66270A63" w:rsidTr="484AA3DF" w14:paraId="3ED1DCB2">
        <w:trPr>
          <w:trHeight w:val="300"/>
        </w:trPr>
        <w:tc>
          <w:tcPr>
            <w:tcW w:w="9360" w:type="dxa"/>
            <w:tcMar>
              <w:left w:w="105" w:type="dxa"/>
              <w:right w:w="105" w:type="dxa"/>
            </w:tcMar>
            <w:vAlign w:val="top"/>
          </w:tcPr>
          <w:p w:rsidR="66270A63" w:rsidP="3456D772" w:rsidRDefault="66270A63" w14:paraId="4C19C75E" w14:textId="4DF99CEC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D772" w:rsidR="718B0C4F">
              <w:rPr>
                <w:rFonts w:ascii="Aptos" w:hAnsi="Aptos" w:eastAsia="Aptos" w:cs="Aptos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At least one unit must be completed from DANC/KNES/PE/PEA</w:t>
            </w:r>
          </w:p>
        </w:tc>
      </w:tr>
      <w:tr w:rsidR="66270A63" w:rsidTr="484AA3DF" w14:paraId="0879DD69">
        <w:trPr>
          <w:trHeight w:val="300"/>
        </w:trPr>
        <w:tc>
          <w:tcPr>
            <w:tcW w:w="9360" w:type="dxa"/>
            <w:tcMar>
              <w:left w:w="105" w:type="dxa"/>
              <w:right w:w="105" w:type="dxa"/>
            </w:tcMar>
            <w:vAlign w:val="top"/>
          </w:tcPr>
          <w:p w:rsidR="4899E18B" w:rsidP="484AA3DF" w:rsidRDefault="4899E18B" w14:paraId="41A4D86A" w14:textId="56902086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84AA3DF" w:rsidR="6EF273A6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ICS: </w:t>
            </w:r>
            <w:r w:rsidRPr="484AA3DF" w:rsidR="2580938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Two</w:t>
            </w:r>
            <w:r w:rsidRPr="484AA3DF" w:rsidR="6EF273A6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ICS approved course</w:t>
            </w:r>
            <w:r w:rsidRPr="484AA3DF" w:rsidR="2BF1596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s</w:t>
            </w:r>
            <w:r w:rsidRPr="484AA3DF" w:rsidR="6EF273A6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from area </w:t>
            </w:r>
            <w:r w:rsidRPr="484AA3DF" w:rsidR="15D993C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3, 4</w:t>
            </w:r>
            <w:r w:rsidRPr="484AA3DF" w:rsidR="0455C8BF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, </w:t>
            </w:r>
            <w:r w:rsidRPr="484AA3DF" w:rsidR="683D2D3F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6 </w:t>
            </w:r>
            <w:r w:rsidRPr="484AA3DF" w:rsidR="15D993C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or 7</w:t>
            </w:r>
            <w:r w:rsidRPr="484AA3DF" w:rsidR="716F042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(course</w:t>
            </w:r>
            <w:r w:rsidRPr="484AA3DF" w:rsidR="2DA97195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s</w:t>
            </w:r>
            <w:r w:rsidRPr="484AA3DF" w:rsidR="716F042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may be double counted</w:t>
            </w:r>
            <w:r w:rsidRPr="484AA3DF" w:rsidR="64ACDF9C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to meet both GE area and graduation requirement</w:t>
            </w:r>
            <w:r w:rsidRPr="484AA3DF" w:rsidR="716F042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)</w:t>
            </w:r>
          </w:p>
          <w:p w:rsidR="66270A63" w:rsidP="3456D772" w:rsidRDefault="66270A63" w14:paraId="1AFE2ADF" w14:textId="2E7561C4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456D772" w:rsidR="3F947A67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ESGC: one ESGC approved course from area 1, 2, 3, 4, </w:t>
            </w:r>
            <w:r w:rsidRPr="3456D772" w:rsidR="76A0DE9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or </w:t>
            </w:r>
            <w:r w:rsidRPr="3456D772" w:rsidR="3F947A67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5</w:t>
            </w:r>
            <w:r w:rsidRPr="3456D772" w:rsidR="7EFC0065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(course may be double counted</w:t>
            </w:r>
            <w:r w:rsidRPr="3456D772" w:rsidR="272FC09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to meet both GE area and graduation requirement</w:t>
            </w:r>
            <w:r w:rsidRPr="3456D772" w:rsidR="7EFC0065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)</w:t>
            </w:r>
          </w:p>
        </w:tc>
      </w:tr>
    </w:tbl>
    <w:p xmlns:wp14="http://schemas.microsoft.com/office/word/2010/wordml" w:rsidP="66270A63" wp14:paraId="4BCC84EF" wp14:textId="753FC142">
      <w:pPr>
        <w:pStyle w:val="Normal"/>
        <w:spacing w:after="160" w:line="279" w:lineRule="auto"/>
        <w:ind w:left="0"/>
        <w:rPr>
          <w:rFonts w:ascii="Aptos" w:hAnsi="Aptos" w:eastAsia="Aptos" w:cs="Aptos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</w:pPr>
    </w:p>
    <w:p xmlns:wp14="http://schemas.microsoft.com/office/word/2010/wordml" w:rsidP="3456D772" wp14:paraId="122ABB4A" wp14:textId="23D91104">
      <w:pPr>
        <w:pStyle w:val="Normal"/>
        <w:spacing w:after="160" w:line="279" w:lineRule="auto"/>
        <w:ind w:left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56D772" w:rsidR="7ED82D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Areas highlighted are new areas with migrated courses. Physical/Mental Wellness and Personal Development area </w:t>
      </w:r>
      <w:r w:rsidRPr="3456D772" w:rsidR="5E2AA01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requires labelling change, but no change in courses nor unit requirement. </w:t>
      </w:r>
      <w:r w:rsidRPr="3456D772" w:rsidR="02045C2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Please refer to </w:t>
      </w:r>
      <w:r w:rsidRPr="3456D772" w:rsidR="02045C2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existing</w:t>
      </w:r>
      <w:r w:rsidRPr="3456D772" w:rsidR="02045C2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hyperlink r:id="R874e53eb43f14570">
        <w:r w:rsidRPr="3456D772" w:rsidR="02045C2B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 xml:space="preserve">GE </w:t>
        </w:r>
        <w:r w:rsidRPr="3456D772" w:rsidR="02045C2B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advising</w:t>
        </w:r>
        <w:r w:rsidRPr="3456D772" w:rsidR="02045C2B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 xml:space="preserve"> sheet</w:t>
        </w:r>
      </w:hyperlink>
      <w:r w:rsidRPr="3456D772" w:rsidR="7C21F7E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456D772" w:rsidR="02045C2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for a full list of courses that will remain in their respective areas. </w:t>
      </w:r>
    </w:p>
    <w:p xmlns:wp14="http://schemas.microsoft.com/office/word/2010/wordml" w:rsidP="3456D772" wp14:paraId="66F7603B" wp14:textId="0D455B69">
      <w:pPr>
        <w:pStyle w:val="Normal"/>
        <w:spacing w:after="160" w:line="279" w:lineRule="auto"/>
        <w:ind w:left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56D772" w:rsidR="0DD0550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following provides more details on specific areas </w:t>
      </w:r>
      <w:r w:rsidRPr="3456D772" w:rsidR="0DD0550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impacted</w:t>
      </w:r>
      <w:r w:rsidRPr="3456D772" w:rsidR="0DD0550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by title 5 updates and </w:t>
      </w:r>
      <w:r w:rsidRPr="3456D772" w:rsidR="6D22C7A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thought process of the GE Subcommittee in </w:t>
      </w:r>
      <w:r w:rsidRPr="3456D772" w:rsidR="6D22C7A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coming up with</w:t>
      </w:r>
      <w:r w:rsidRPr="3456D772" w:rsidR="6D22C7A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proposal. </w:t>
      </w:r>
    </w:p>
    <w:p xmlns:wp14="http://schemas.microsoft.com/office/word/2010/wordml" w:rsidP="3456D772" wp14:paraId="75B96DCF" wp14:textId="06536854">
      <w:pPr>
        <w:pStyle w:val="Normal"/>
        <w:spacing w:after="160" w:line="279" w:lineRule="auto"/>
        <w:ind w:left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56D772" w:rsidR="5592063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Area 6: Ethnic Studies</w:t>
      </w:r>
    </w:p>
    <w:p xmlns:wp14="http://schemas.microsoft.com/office/word/2010/wordml" w:rsidP="66270A63" wp14:paraId="263BDF03" wp14:textId="4C049251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6270A63" w:rsidR="4940298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Criteria of courses: The courses that meet the criteria of the new area 6 in the GE pattern may include baccalaureate-level courses in the four autonomous disciplines within Ethnic Studies: African American Studies, Native American Studies, Chicano/a/x; Latino/a/x Studies/La Raza Studies and Asian American Studies. [Title 5 reference: S55061(c)(6)] Further guidance has been provided in a </w:t>
      </w:r>
      <w:hyperlink r:id="Rc41b0780a2b04fc2">
        <w:r w:rsidRPr="66270A63" w:rsidR="49402987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memo,</w:t>
        </w:r>
      </w:hyperlink>
      <w:r w:rsidRPr="66270A63" w:rsidR="4940298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where it discusses an introduction to Ethnic Studies course could meet the Ethnic Studies requirement as it surveys the four autonomous disciplines within Ethnic Studies. </w:t>
      </w:r>
    </w:p>
    <w:p xmlns:wp14="http://schemas.microsoft.com/office/word/2010/wordml" w:rsidP="66270A63" wp14:paraId="2B301864" wp14:textId="4F26059F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6270A63" w:rsidR="49402987">
        <w:rPr>
          <w:rFonts w:ascii="Aptos" w:hAnsi="Aptos" w:eastAsia="Aptos" w:cs="Aptos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>Prop</w:t>
      </w:r>
      <w:r w:rsidRPr="66270A63" w:rsidR="49402987">
        <w:rPr>
          <w:rFonts w:ascii="Aptos" w:hAnsi="Aptos" w:eastAsia="Aptos" w:cs="Aptos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>osed changes:</w:t>
      </w:r>
    </w:p>
    <w:p xmlns:wp14="http://schemas.microsoft.com/office/word/2010/wordml" w:rsidP="66270A63" wp14:paraId="2BB004E0" wp14:textId="67242551">
      <w:pPr>
        <w:pStyle w:val="ListParagraph"/>
        <w:numPr>
          <w:ilvl w:val="0"/>
          <w:numId w:val="1"/>
        </w:numPr>
        <w:spacing w:before="0" w:beforeAutospacing="off" w:after="160" w:afterAutospacing="off" w:line="279" w:lineRule="auto"/>
        <w:ind w:left="720" w:right="0" w:hanging="36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6270A63" w:rsidR="49402987">
        <w:rPr>
          <w:rFonts w:ascii="Aptos" w:hAnsi="Aptos" w:eastAsia="Aptos" w:cs="Aptos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 xml:space="preserve">The following courses will move from their existing areas to Area 6 Ethnic Studies, requiring a minimum of one 4-quarter unit course. 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485"/>
        <w:gridCol w:w="2250"/>
        <w:gridCol w:w="5625"/>
      </w:tblGrid>
      <w:tr w:rsidR="66270A63" w:rsidTr="66270A63" w14:paraId="43390BF1">
        <w:trPr>
          <w:trHeight w:val="300"/>
        </w:trPr>
        <w:tc>
          <w:tcPr>
            <w:tcW w:w="1485" w:type="dxa"/>
            <w:tcMar>
              <w:left w:w="105" w:type="dxa"/>
              <w:right w:w="105" w:type="dxa"/>
            </w:tcMar>
            <w:vAlign w:val="top"/>
          </w:tcPr>
          <w:p w:rsidR="66270A63" w:rsidP="66270A63" w:rsidRDefault="66270A63" w14:paraId="61B11F42" w14:textId="53379777">
            <w:pPr>
              <w:spacing w:before="0" w:beforeAutospacing="off" w:after="0" w:afterAutospacing="off" w:line="279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6270A63" w:rsidR="66270A63">
              <w:rPr>
                <w:rFonts w:ascii="Aptos" w:hAnsi="Aptos" w:eastAsia="Aptos" w:cs="Aptos" w:asciiTheme="minorAscii" w:hAnsiTheme="minorAsci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 w:eastAsia="ja-JP" w:bidi="ar-SA"/>
              </w:rPr>
              <w:t>Disciplines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  <w:vAlign w:val="top"/>
          </w:tcPr>
          <w:p w:rsidR="66270A63" w:rsidP="66270A63" w:rsidRDefault="66270A63" w14:paraId="5F957E92" w14:textId="0491A008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6270A63" w:rsidR="66270A63">
              <w:rPr>
                <w:rFonts w:ascii="Aptos" w:hAnsi="Aptos" w:eastAsia="Aptos" w:cs="Aptos" w:asciiTheme="minorAscii" w:hAnsiTheme="minorAsci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 w:eastAsia="ja-JP" w:bidi="ar-SA"/>
              </w:rPr>
              <w:t>Course</w:t>
            </w:r>
          </w:p>
        </w:tc>
        <w:tc>
          <w:tcPr>
            <w:tcW w:w="5625" w:type="dxa"/>
            <w:tcMar>
              <w:left w:w="105" w:type="dxa"/>
              <w:right w:w="105" w:type="dxa"/>
            </w:tcMar>
            <w:vAlign w:val="top"/>
          </w:tcPr>
          <w:p w:rsidR="66270A63" w:rsidP="66270A63" w:rsidRDefault="66270A63" w14:paraId="0EE7607F" w14:textId="00E7CF2C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6270A63" w:rsidR="66270A63">
              <w:rPr>
                <w:rFonts w:ascii="Aptos" w:hAnsi="Aptos" w:eastAsia="Aptos" w:cs="Aptos" w:asciiTheme="minorAscii" w:hAnsiTheme="minorAsci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 w:eastAsia="ja-JP" w:bidi="ar-SA"/>
              </w:rPr>
              <w:t>Existing Area(s)</w:t>
            </w:r>
          </w:p>
        </w:tc>
      </w:tr>
      <w:tr w:rsidR="66270A63" w:rsidTr="66270A63" w14:paraId="5CBD6D88">
        <w:trPr>
          <w:trHeight w:val="300"/>
        </w:trPr>
        <w:tc>
          <w:tcPr>
            <w:tcW w:w="1485" w:type="dxa"/>
            <w:tcMar>
              <w:left w:w="105" w:type="dxa"/>
              <w:right w:w="105" w:type="dxa"/>
            </w:tcMar>
            <w:vAlign w:val="top"/>
          </w:tcPr>
          <w:p w:rsidR="66270A63" w:rsidP="66270A63" w:rsidRDefault="66270A63" w14:paraId="39303AA1" w14:textId="66DC278B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6270A63" w:rsidR="66270A63">
              <w:rPr>
                <w:rFonts w:ascii="Aptos" w:hAnsi="Aptos" w:eastAsia="Aptos" w:cs="Aptos" w:asciiTheme="minorAscii" w:hAnsiTheme="minorAsci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 w:eastAsia="ja-JP" w:bidi="ar-SA"/>
              </w:rPr>
              <w:t>AFAM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  <w:vAlign w:val="top"/>
          </w:tcPr>
          <w:p w:rsidR="66270A63" w:rsidP="66270A63" w:rsidRDefault="66270A63" w14:paraId="570197E8" w14:textId="67FC5A8F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6270A63" w:rsidR="66270A63">
              <w:rPr>
                <w:rFonts w:ascii="Aptos" w:hAnsi="Aptos" w:eastAsia="Aptos" w:cs="Aptos" w:asciiTheme="minorAscii" w:hAnsiTheme="minorAsci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 w:eastAsia="ja-JP" w:bidi="ar-SA"/>
              </w:rPr>
              <w:t>11</w:t>
            </w:r>
          </w:p>
        </w:tc>
        <w:tc>
          <w:tcPr>
            <w:tcW w:w="5625" w:type="dxa"/>
            <w:tcMar>
              <w:left w:w="105" w:type="dxa"/>
              <w:right w:w="105" w:type="dxa"/>
            </w:tcMar>
            <w:vAlign w:val="top"/>
          </w:tcPr>
          <w:p w:rsidR="66270A63" w:rsidP="66270A63" w:rsidRDefault="66270A63" w14:paraId="2669D676" w14:textId="77A71870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6270A63" w:rsidR="66270A63">
              <w:rPr>
                <w:rFonts w:ascii="Aptos" w:hAnsi="Aptos" w:eastAsia="Aptos" w:cs="Aptos" w:asciiTheme="minorAscii" w:hAnsiTheme="minorAsci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 w:eastAsia="ja-JP" w:bidi="ar-SA"/>
              </w:rPr>
              <w:t>Area C2: Humanities</w:t>
            </w:r>
          </w:p>
        </w:tc>
      </w:tr>
      <w:tr w:rsidR="66270A63" w:rsidTr="66270A63" w14:paraId="3CF5F647">
        <w:trPr>
          <w:trHeight w:val="300"/>
        </w:trPr>
        <w:tc>
          <w:tcPr>
            <w:tcW w:w="1485" w:type="dxa"/>
            <w:tcMar>
              <w:left w:w="105" w:type="dxa"/>
              <w:right w:w="105" w:type="dxa"/>
            </w:tcMar>
            <w:vAlign w:val="top"/>
          </w:tcPr>
          <w:p w:rsidR="66270A63" w:rsidP="66270A63" w:rsidRDefault="66270A63" w14:paraId="25D5C707" w14:textId="521A5225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6270A63" w:rsidR="66270A63">
              <w:rPr>
                <w:rFonts w:ascii="Aptos" w:hAnsi="Aptos" w:eastAsia="Aptos" w:cs="Aptos" w:asciiTheme="minorAscii" w:hAnsiTheme="minorAsci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 w:eastAsia="ja-JP" w:bidi="ar-SA"/>
              </w:rPr>
              <w:t>AFAM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  <w:vAlign w:val="top"/>
          </w:tcPr>
          <w:p w:rsidR="66270A63" w:rsidP="66270A63" w:rsidRDefault="66270A63" w14:paraId="74A3F3F0" w14:textId="659361DC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6270A63" w:rsidR="66270A63">
              <w:rPr>
                <w:rFonts w:ascii="Aptos" w:hAnsi="Aptos" w:eastAsia="Aptos" w:cs="Aptos" w:asciiTheme="minorAscii" w:hAnsiTheme="minorAsci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 w:eastAsia="ja-JP" w:bidi="ar-SA"/>
              </w:rPr>
              <w:t>10</w:t>
            </w:r>
          </w:p>
        </w:tc>
        <w:tc>
          <w:tcPr>
            <w:tcW w:w="5625" w:type="dxa"/>
            <w:tcMar>
              <w:left w:w="105" w:type="dxa"/>
              <w:right w:w="105" w:type="dxa"/>
            </w:tcMar>
            <w:vAlign w:val="top"/>
          </w:tcPr>
          <w:p w:rsidR="66270A63" w:rsidP="66270A63" w:rsidRDefault="66270A63" w14:paraId="18200ACB" w14:textId="61D7176C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6270A63" w:rsidR="66270A63">
              <w:rPr>
                <w:rFonts w:ascii="Aptos" w:hAnsi="Aptos" w:eastAsia="Aptos" w:cs="Aptos" w:asciiTheme="minorAscii" w:hAnsiTheme="minorAsci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 w:eastAsia="ja-JP" w:bidi="ar-SA"/>
              </w:rPr>
              <w:t>Area D: Social and Behavioral Sciences</w:t>
            </w:r>
          </w:p>
        </w:tc>
      </w:tr>
      <w:tr w:rsidR="66270A63" w:rsidTr="66270A63" w14:paraId="0FAA9EE0">
        <w:trPr>
          <w:trHeight w:val="300"/>
        </w:trPr>
        <w:tc>
          <w:tcPr>
            <w:tcW w:w="1485" w:type="dxa"/>
            <w:tcMar>
              <w:left w:w="105" w:type="dxa"/>
              <w:right w:w="105" w:type="dxa"/>
            </w:tcMar>
            <w:vAlign w:val="top"/>
          </w:tcPr>
          <w:p w:rsidR="66270A63" w:rsidP="66270A63" w:rsidRDefault="66270A63" w14:paraId="050F488E" w14:textId="3F0D326A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6270A63" w:rsidR="66270A63">
              <w:rPr>
                <w:rFonts w:ascii="Aptos" w:hAnsi="Aptos" w:eastAsia="Aptos" w:cs="Aptos" w:asciiTheme="minorAscii" w:hAnsiTheme="minorAsci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 w:eastAsia="ja-JP" w:bidi="ar-SA"/>
              </w:rPr>
              <w:t>CETH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  <w:vAlign w:val="top"/>
          </w:tcPr>
          <w:p w:rsidR="66270A63" w:rsidP="66270A63" w:rsidRDefault="66270A63" w14:paraId="036F95BF" w14:textId="6E5EE6DC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6270A63" w:rsidR="66270A63">
              <w:rPr>
                <w:rFonts w:ascii="Aptos" w:hAnsi="Aptos" w:eastAsia="Aptos" w:cs="Aptos" w:asciiTheme="minorAscii" w:hAnsiTheme="minorAsci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 w:eastAsia="ja-JP" w:bidi="ar-SA"/>
              </w:rPr>
              <w:t>10</w:t>
            </w:r>
            <w:r w:rsidRPr="66270A63" w:rsidR="66270A63">
              <w:rPr>
                <w:rFonts w:ascii="Aptos" w:hAnsi="Aptos" w:eastAsia="Aptos" w:cs="Aptos" w:asciiTheme="minorAscii" w:hAnsiTheme="minorAsci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 w:eastAsia="ja-JP" w:bidi="ar-SA"/>
              </w:rPr>
              <w:t xml:space="preserve">, </w:t>
            </w:r>
            <w:r w:rsidRPr="66270A63" w:rsidR="66270A63">
              <w:rPr>
                <w:rFonts w:ascii="Aptos" w:hAnsi="Aptos" w:eastAsia="Aptos" w:cs="Aptos" w:asciiTheme="minorAscii" w:hAnsiTheme="minorAsci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 w:eastAsia="ja-JP" w:bidi="ar-SA"/>
              </w:rPr>
              <w:t>29</w:t>
            </w:r>
            <w:r w:rsidRPr="66270A63" w:rsidR="66270A63">
              <w:rPr>
                <w:rFonts w:ascii="Aptos" w:hAnsi="Aptos" w:eastAsia="Aptos" w:cs="Aptos" w:asciiTheme="minorAscii" w:hAnsiTheme="minorAsci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 w:eastAsia="ja-JP" w:bidi="ar-SA"/>
              </w:rPr>
              <w:t>#</w:t>
            </w:r>
          </w:p>
        </w:tc>
        <w:tc>
          <w:tcPr>
            <w:tcW w:w="5625" w:type="dxa"/>
            <w:tcMar>
              <w:left w:w="105" w:type="dxa"/>
              <w:right w:w="105" w:type="dxa"/>
            </w:tcMar>
            <w:vAlign w:val="top"/>
          </w:tcPr>
          <w:p w:rsidR="66270A63" w:rsidP="66270A63" w:rsidRDefault="66270A63" w14:paraId="5EB9E3AC" w14:textId="26413C1F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6270A63" w:rsidR="66270A63">
              <w:rPr>
                <w:rFonts w:ascii="Aptos" w:hAnsi="Aptos" w:eastAsia="Aptos" w:cs="Aptos" w:asciiTheme="minorAscii" w:hAnsiTheme="minorAsci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 w:eastAsia="ja-JP" w:bidi="ar-SA"/>
              </w:rPr>
              <w:t>Area D</w:t>
            </w:r>
          </w:p>
        </w:tc>
      </w:tr>
      <w:tr w:rsidR="66270A63" w:rsidTr="66270A63" w14:paraId="083922B2">
        <w:trPr>
          <w:trHeight w:val="300"/>
        </w:trPr>
        <w:tc>
          <w:tcPr>
            <w:tcW w:w="1485" w:type="dxa"/>
            <w:tcMar>
              <w:left w:w="105" w:type="dxa"/>
              <w:right w:w="105" w:type="dxa"/>
            </w:tcMar>
            <w:vAlign w:val="top"/>
          </w:tcPr>
          <w:p w:rsidR="66270A63" w:rsidP="66270A63" w:rsidRDefault="66270A63" w14:paraId="056A4DE0" w14:textId="2139F98A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6270A63" w:rsidR="66270A63">
              <w:rPr>
                <w:rFonts w:ascii="Aptos" w:hAnsi="Aptos" w:eastAsia="Aptos" w:cs="Aptos" w:asciiTheme="minorAscii" w:hAnsiTheme="minorAsci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 w:eastAsia="ja-JP" w:bidi="ar-SA"/>
              </w:rPr>
              <w:t>ASAM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  <w:vAlign w:val="top"/>
          </w:tcPr>
          <w:p w:rsidR="66270A63" w:rsidP="66270A63" w:rsidRDefault="66270A63" w14:paraId="78E5DB84" w14:textId="6A6C19E1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6270A63" w:rsidR="66270A63">
              <w:rPr>
                <w:rFonts w:ascii="Aptos" w:hAnsi="Aptos" w:eastAsia="Aptos" w:cs="Aptos" w:asciiTheme="minorAscii" w:hAnsiTheme="minorAsci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 w:eastAsia="ja-JP" w:bidi="ar-SA"/>
              </w:rPr>
              <w:t>11</w:t>
            </w:r>
          </w:p>
        </w:tc>
        <w:tc>
          <w:tcPr>
            <w:tcW w:w="5625" w:type="dxa"/>
            <w:tcMar>
              <w:left w:w="105" w:type="dxa"/>
              <w:right w:w="105" w:type="dxa"/>
            </w:tcMar>
            <w:vAlign w:val="top"/>
          </w:tcPr>
          <w:p w:rsidR="66270A63" w:rsidP="66270A63" w:rsidRDefault="66270A63" w14:paraId="3D2A54FF" w14:textId="0E705584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6270A63" w:rsidR="66270A63">
              <w:rPr>
                <w:rFonts w:ascii="Aptos" w:hAnsi="Aptos" w:eastAsia="Aptos" w:cs="Aptos" w:asciiTheme="minorAscii" w:hAnsiTheme="minorAsci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 w:eastAsia="ja-JP" w:bidi="ar-SA"/>
              </w:rPr>
              <w:t>Area D</w:t>
            </w:r>
          </w:p>
        </w:tc>
      </w:tr>
      <w:tr w:rsidR="66270A63" w:rsidTr="66270A63" w14:paraId="4B51136A">
        <w:trPr>
          <w:trHeight w:val="300"/>
        </w:trPr>
        <w:tc>
          <w:tcPr>
            <w:tcW w:w="1485" w:type="dxa"/>
            <w:tcMar>
              <w:left w:w="105" w:type="dxa"/>
              <w:right w:w="105" w:type="dxa"/>
            </w:tcMar>
            <w:vAlign w:val="top"/>
          </w:tcPr>
          <w:p w:rsidR="66270A63" w:rsidP="66270A63" w:rsidRDefault="66270A63" w14:paraId="2F17F811" w14:textId="2EAC93B8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6270A63" w:rsidR="66270A63">
              <w:rPr>
                <w:rFonts w:ascii="Aptos" w:hAnsi="Aptos" w:eastAsia="Aptos" w:cs="Aptos" w:asciiTheme="minorAscii" w:hAnsiTheme="minorAsci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 w:eastAsia="ja-JP" w:bidi="ar-SA"/>
              </w:rPr>
              <w:t>NAIS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  <w:vAlign w:val="top"/>
          </w:tcPr>
          <w:p w:rsidR="66270A63" w:rsidP="66270A63" w:rsidRDefault="66270A63" w14:paraId="7C429349" w14:textId="2DC31F9C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6270A63" w:rsidR="66270A63">
              <w:rPr>
                <w:rFonts w:ascii="Aptos" w:hAnsi="Aptos" w:eastAsia="Aptos" w:cs="Aptos" w:asciiTheme="minorAscii" w:hAnsiTheme="minorAsci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 w:eastAsia="ja-JP" w:bidi="ar-SA"/>
              </w:rPr>
              <w:t>12</w:t>
            </w:r>
          </w:p>
        </w:tc>
        <w:tc>
          <w:tcPr>
            <w:tcW w:w="5625" w:type="dxa"/>
            <w:tcMar>
              <w:left w:w="105" w:type="dxa"/>
              <w:right w:w="105" w:type="dxa"/>
            </w:tcMar>
            <w:vAlign w:val="top"/>
          </w:tcPr>
          <w:p w:rsidR="66270A63" w:rsidP="66270A63" w:rsidRDefault="66270A63" w14:paraId="7CDEA27B" w14:textId="16BF30C5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6270A63" w:rsidR="66270A63">
              <w:rPr>
                <w:rFonts w:ascii="Aptos" w:hAnsi="Aptos" w:eastAsia="Aptos" w:cs="Aptos" w:asciiTheme="minorAscii" w:hAnsiTheme="minorAsci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 w:eastAsia="ja-JP" w:bidi="ar-SA"/>
              </w:rPr>
              <w:t>Area D</w:t>
            </w:r>
          </w:p>
        </w:tc>
      </w:tr>
      <w:tr w:rsidR="66270A63" w:rsidTr="66270A63" w14:paraId="241ADB81">
        <w:trPr>
          <w:trHeight w:val="300"/>
        </w:trPr>
        <w:tc>
          <w:tcPr>
            <w:tcW w:w="1485" w:type="dxa"/>
            <w:tcMar>
              <w:left w:w="105" w:type="dxa"/>
              <w:right w:w="105" w:type="dxa"/>
            </w:tcMar>
            <w:vAlign w:val="top"/>
          </w:tcPr>
          <w:p w:rsidR="66270A63" w:rsidP="66270A63" w:rsidRDefault="66270A63" w14:paraId="62B08854" w14:textId="70D62E69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6270A63" w:rsidR="66270A63">
              <w:rPr>
                <w:rFonts w:ascii="Aptos" w:hAnsi="Aptos" w:eastAsia="Aptos" w:cs="Aptos" w:asciiTheme="minorAscii" w:hAnsiTheme="minorAsci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 w:eastAsia="ja-JP" w:bidi="ar-SA"/>
              </w:rPr>
              <w:t>CHLX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  <w:vAlign w:val="top"/>
          </w:tcPr>
          <w:p w:rsidR="66270A63" w:rsidP="66270A63" w:rsidRDefault="66270A63" w14:paraId="7431CA27" w14:textId="22880324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6270A63" w:rsidR="66270A63">
              <w:rPr>
                <w:rFonts w:ascii="Aptos" w:hAnsi="Aptos" w:eastAsia="Aptos" w:cs="Aptos" w:asciiTheme="minorAscii" w:hAnsiTheme="minorAsci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 w:eastAsia="ja-JP" w:bidi="ar-SA"/>
              </w:rPr>
              <w:t>10</w:t>
            </w:r>
          </w:p>
        </w:tc>
        <w:tc>
          <w:tcPr>
            <w:tcW w:w="5625" w:type="dxa"/>
            <w:tcMar>
              <w:left w:w="105" w:type="dxa"/>
              <w:right w:w="105" w:type="dxa"/>
            </w:tcMar>
            <w:vAlign w:val="top"/>
          </w:tcPr>
          <w:p w:rsidR="66270A63" w:rsidP="66270A63" w:rsidRDefault="66270A63" w14:paraId="242E785B" w14:textId="7A62EE38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6270A63" w:rsidR="66270A63">
              <w:rPr>
                <w:rFonts w:ascii="Aptos" w:hAnsi="Aptos" w:eastAsia="Aptos" w:cs="Aptos" w:asciiTheme="minorAscii" w:hAnsiTheme="minorAsci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 w:eastAsia="ja-JP" w:bidi="ar-SA"/>
              </w:rPr>
              <w:t>Area D</w:t>
            </w:r>
          </w:p>
        </w:tc>
      </w:tr>
    </w:tbl>
    <w:p xmlns:wp14="http://schemas.microsoft.com/office/word/2010/wordml" w:rsidP="66270A63" wp14:paraId="1D015F33" wp14:textId="283FE58E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</w:pPr>
    </w:p>
    <w:p xmlns:wp14="http://schemas.microsoft.com/office/word/2010/wordml" w:rsidP="66270A63" wp14:paraId="4E253D9C" wp14:textId="31B1C2ED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6270A63" w:rsidR="49402987">
        <w:rPr>
          <w:rFonts w:ascii="Aptos" w:hAnsi="Aptos" w:eastAsia="Aptos" w:cs="Aptos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 xml:space="preserve"># CETH 29 is cross listed with ADMJ 29. ADMJ 29 should be included in Area 6 and Area 4 with the notation that completion of 1 course can satisfy only 1 GE area. </w:t>
      </w:r>
    </w:p>
    <w:p xmlns:wp14="http://schemas.microsoft.com/office/word/2010/wordml" w:rsidP="66270A63" wp14:paraId="375EA3F1" wp14:textId="567457D7">
      <w:pPr>
        <w:pStyle w:val="ListParagraph"/>
        <w:numPr>
          <w:ilvl w:val="0"/>
          <w:numId w:val="1"/>
        </w:num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6270A63" w:rsidR="65D0E22D">
        <w:rPr>
          <w:rFonts w:ascii="Aptos" w:hAnsi="Aptos" w:eastAsia="Aptos" w:cs="Aptos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 xml:space="preserve">Only the </w:t>
      </w:r>
      <w:r w:rsidRPr="66270A63" w:rsidR="5B88AE32">
        <w:rPr>
          <w:rFonts w:ascii="Aptos" w:hAnsi="Aptos" w:eastAsia="Aptos" w:cs="Aptos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 xml:space="preserve">DA </w:t>
      </w:r>
      <w:r w:rsidRPr="66270A63" w:rsidR="65D0E22D">
        <w:rPr>
          <w:rFonts w:ascii="Aptos" w:hAnsi="Aptos" w:eastAsia="Aptos" w:cs="Aptos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 xml:space="preserve">Ethnic Studies courses that </w:t>
      </w:r>
      <w:r w:rsidRPr="66270A63" w:rsidR="3A82E0D9">
        <w:rPr>
          <w:rFonts w:ascii="Aptos" w:hAnsi="Aptos" w:eastAsia="Aptos" w:cs="Aptos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 xml:space="preserve">are currently </w:t>
      </w:r>
      <w:r w:rsidRPr="66270A63" w:rsidR="3A82E0D9">
        <w:rPr>
          <w:rFonts w:ascii="Aptos" w:hAnsi="Aptos" w:eastAsia="Aptos" w:cs="Aptos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>approved for CSU GE Area F</w:t>
      </w:r>
      <w:r w:rsidRPr="66270A63" w:rsidR="7E4091B5">
        <w:rPr>
          <w:rFonts w:ascii="Aptos" w:hAnsi="Aptos" w:eastAsia="Aptos" w:cs="Aptos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 xml:space="preserve"> (Ethnic Studies) and IGETC Area 7(Ethnic Studies)</w:t>
      </w:r>
      <w:r w:rsidRPr="66270A63" w:rsidR="3A82E0D9">
        <w:rPr>
          <w:rFonts w:ascii="Aptos" w:hAnsi="Aptos" w:eastAsia="Aptos" w:cs="Aptos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 xml:space="preserve"> </w:t>
      </w:r>
      <w:r w:rsidRPr="66270A63" w:rsidR="077E025A">
        <w:rPr>
          <w:rFonts w:ascii="Aptos" w:hAnsi="Aptos" w:eastAsia="Aptos" w:cs="Aptos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 xml:space="preserve">are moving to the new area 6 of our local GE pattern. This is because these courses </w:t>
      </w:r>
      <w:r w:rsidRPr="66270A63" w:rsidR="3A82E0D9">
        <w:rPr>
          <w:rFonts w:ascii="Aptos" w:hAnsi="Aptos" w:eastAsia="Aptos" w:cs="Aptos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 xml:space="preserve">would be approved for Cal-GETC Area 6 (Ethnic Studies). </w:t>
      </w:r>
      <w:r w:rsidRPr="66270A63" w:rsidR="4FB5AC94">
        <w:rPr>
          <w:rFonts w:ascii="Aptos" w:hAnsi="Aptos" w:eastAsia="Aptos" w:cs="Aptos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>Even though Cal-GETC does not govern local decisions in forming GE pattern for AA/AS degrees, d</w:t>
      </w:r>
      <w:r w:rsidRPr="66270A63" w:rsidR="1A2D9364">
        <w:rPr>
          <w:rFonts w:ascii="Aptos" w:hAnsi="Aptos" w:eastAsia="Aptos" w:cs="Aptos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 xml:space="preserve">oing so will </w:t>
      </w:r>
      <w:r w:rsidRPr="66270A63" w:rsidR="3E074F70">
        <w:rPr>
          <w:rFonts w:ascii="Aptos" w:hAnsi="Aptos" w:eastAsia="Aptos" w:cs="Aptos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>allow</w:t>
      </w:r>
      <w:r w:rsidRPr="66270A63" w:rsidR="1A2D9364">
        <w:rPr>
          <w:rFonts w:ascii="Aptos" w:hAnsi="Aptos" w:eastAsia="Aptos" w:cs="Aptos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 xml:space="preserve"> students </w:t>
      </w:r>
      <w:r w:rsidRPr="66270A63" w:rsidR="31AB0069">
        <w:rPr>
          <w:rFonts w:ascii="Aptos" w:hAnsi="Aptos" w:eastAsia="Aptos" w:cs="Aptos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>to</w:t>
      </w:r>
      <w:r w:rsidRPr="66270A63" w:rsidR="1A2D9364">
        <w:rPr>
          <w:rFonts w:ascii="Aptos" w:hAnsi="Aptos" w:eastAsia="Aptos" w:cs="Aptos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 xml:space="preserve"> have an easier time navigating between the patterns to </w:t>
      </w:r>
      <w:bookmarkStart w:name="_Int_rSWPPyYj" w:id="821947031"/>
      <w:r w:rsidRPr="66270A63" w:rsidR="718B14A3">
        <w:rPr>
          <w:rFonts w:ascii="Aptos" w:hAnsi="Aptos" w:eastAsia="Aptos" w:cs="Aptos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>compare</w:t>
      </w:r>
      <w:r w:rsidRPr="66270A63" w:rsidR="1A2D9364">
        <w:rPr>
          <w:rFonts w:ascii="Aptos" w:hAnsi="Aptos" w:eastAsia="Aptos" w:cs="Aptos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 xml:space="preserve"> </w:t>
      </w:r>
      <w:r w:rsidRPr="66270A63" w:rsidR="42131B94">
        <w:rPr>
          <w:rFonts w:ascii="Aptos" w:hAnsi="Aptos" w:eastAsia="Aptos" w:cs="Aptos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>and contrast</w:t>
      </w:r>
      <w:bookmarkEnd w:id="821947031"/>
      <w:r w:rsidRPr="66270A63" w:rsidR="42131B94">
        <w:rPr>
          <w:rFonts w:ascii="Aptos" w:hAnsi="Aptos" w:eastAsia="Aptos" w:cs="Aptos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 xml:space="preserve"> </w:t>
      </w:r>
      <w:r w:rsidRPr="66270A63" w:rsidR="1A2D9364">
        <w:rPr>
          <w:rFonts w:ascii="Aptos" w:hAnsi="Aptos" w:eastAsia="Aptos" w:cs="Aptos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>course requirements</w:t>
      </w:r>
      <w:r w:rsidRPr="66270A63" w:rsidR="53D40CD1">
        <w:rPr>
          <w:rFonts w:ascii="Aptos" w:hAnsi="Aptos" w:eastAsia="Aptos" w:cs="Aptos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 xml:space="preserve">. </w:t>
      </w:r>
    </w:p>
    <w:p xmlns:wp14="http://schemas.microsoft.com/office/word/2010/wordml" w:rsidP="3456D772" wp14:paraId="78559A0C" wp14:textId="57B7B887">
      <w:pPr>
        <w:pStyle w:val="ListParagraph"/>
        <w:numPr>
          <w:ilvl w:val="0"/>
          <w:numId w:val="1"/>
        </w:numPr>
        <w:spacing w:after="160" w:line="279" w:lineRule="auto"/>
        <w:rPr>
          <w:rFonts w:ascii="Aptos" w:hAnsi="Aptos" w:eastAsia="" w:cs="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</w:pPr>
      <w:r w:rsidRPr="3456D772" w:rsidR="19631A85">
        <w:rPr>
          <w:rFonts w:ascii="Aptos" w:hAnsi="Aptos" w:eastAsia="" w:cs="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>Maintain</w:t>
      </w:r>
      <w:r w:rsidRPr="3456D772" w:rsidR="10D4A62F">
        <w:rPr>
          <w:rFonts w:ascii="Aptos" w:hAnsi="Aptos" w:eastAsia="" w:cs="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 xml:space="preserve"> the De Anza Intercultural Studies associate degree graduation requirement</w:t>
      </w:r>
      <w:r w:rsidRPr="3456D772" w:rsidR="456FF9FE">
        <w:rPr>
          <w:rFonts w:ascii="Aptos" w:hAnsi="Aptos" w:eastAsia="" w:cs="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 xml:space="preserve"> because intercultural studies cover topics </w:t>
      </w:r>
      <w:r w:rsidRPr="3456D772" w:rsidR="3B4B37DE">
        <w:rPr>
          <w:rFonts w:ascii="Aptos" w:hAnsi="Aptos" w:eastAsia="" w:cs="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 xml:space="preserve">with a broader scope, encompassing a variety of cultures and their interactions, such as </w:t>
      </w:r>
      <w:r w:rsidRPr="3456D772" w:rsidR="73410636">
        <w:rPr>
          <w:rFonts w:ascii="Aptos" w:hAnsi="Aptos" w:eastAsia="" w:cs="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>Women’s Studies courses, which teach a comprehensive understanding of women's roles in society and to a</w:t>
      </w:r>
      <w:r w:rsidRPr="3456D772" w:rsidR="4385815C">
        <w:rPr>
          <w:rFonts w:ascii="Aptos" w:hAnsi="Aptos" w:eastAsia="" w:cs="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>nalyze how existing</w:t>
      </w:r>
      <w:r w:rsidRPr="3456D772" w:rsidR="73410636">
        <w:rPr>
          <w:rFonts w:ascii="Aptos" w:hAnsi="Aptos" w:eastAsia="" w:cs="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 xml:space="preserve"> </w:t>
      </w:r>
      <w:r w:rsidRPr="3456D772" w:rsidR="4FF7A5AB">
        <w:rPr>
          <w:rFonts w:ascii="Aptos" w:hAnsi="Aptos" w:eastAsia="" w:cs="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 xml:space="preserve">power structures </w:t>
      </w:r>
      <w:r w:rsidRPr="3456D772" w:rsidR="13E3673E">
        <w:rPr>
          <w:rFonts w:ascii="Aptos" w:hAnsi="Aptos" w:eastAsia="" w:cs="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>contribute to social injustice.</w:t>
      </w:r>
      <w:r w:rsidRPr="3456D772" w:rsidR="13E3673E">
        <w:rPr>
          <w:rFonts w:ascii="Aptos" w:hAnsi="Aptos" w:eastAsia="" w:cs="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 xml:space="preserve"> </w:t>
      </w:r>
    </w:p>
    <w:p w:rsidR="10D4A62F" w:rsidP="3456D772" w:rsidRDefault="10D4A62F" w14:paraId="7A77ABC9" w14:textId="52438EDD">
      <w:pPr>
        <w:pStyle w:val="ListParagraph"/>
        <w:numPr>
          <w:ilvl w:val="0"/>
          <w:numId w:val="1"/>
        </w:num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56D772" w:rsidR="10D4A62F">
        <w:rPr>
          <w:rFonts w:ascii="Aptos" w:hAnsi="Aptos" w:eastAsia="" w:cs="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 xml:space="preserve">The GE Subcommittee acknowledged the potential addition of extra courses to Ethnic Studies Area 6 to enhance students’ flexibility in course offerings, while recognizing the need for the IIS Division to have available capacity and resources. </w:t>
      </w:r>
    </w:p>
    <w:p xmlns:wp14="http://schemas.microsoft.com/office/word/2010/wordml" w:rsidP="66270A63" wp14:paraId="354591D8" wp14:textId="7B320CE2">
      <w:pPr>
        <w:pStyle w:val="ListParagraph"/>
        <w:numPr>
          <w:ilvl w:val="0"/>
          <w:numId w:val="1"/>
        </w:numPr>
        <w:spacing w:before="0" w:beforeAutospacing="off" w:after="160" w:afterAutospacing="off" w:line="279" w:lineRule="auto"/>
        <w:ind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56D772" w:rsidR="10D4A62F">
        <w:rPr>
          <w:rFonts w:ascii="Aptos" w:hAnsi="Aptos" w:eastAsia="" w:cs="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>Propose the following update to the description of De Anza General Education:</w:t>
      </w:r>
    </w:p>
    <w:p xmlns:wp14="http://schemas.microsoft.com/office/word/2010/wordml" w:rsidP="3456D772" wp14:paraId="6586CDC3" wp14:textId="3D8456D6">
      <w:pPr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56D772" w:rsidR="10D4A62F">
        <w:rPr>
          <w:rFonts w:ascii="Aptos" w:hAnsi="Aptos" w:eastAsia="" w:cs="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>Area 6 Ethnic Studies</w:t>
      </w:r>
      <w:r w:rsidRPr="3456D772" w:rsidR="0A34FBE8">
        <w:rPr>
          <w:rFonts w:ascii="Aptos" w:hAnsi="Aptos" w:eastAsia="" w:cs="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>:</w:t>
      </w:r>
    </w:p>
    <w:p xmlns:wp14="http://schemas.microsoft.com/office/word/2010/wordml" w:rsidP="3456D772" wp14:paraId="42AFCEA7" wp14:textId="54097B7B">
      <w:pPr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56D772" w:rsidR="10D4A62F">
        <w:rPr>
          <w:rFonts w:ascii="Aptos" w:hAnsi="Aptos" w:eastAsia="" w:cs="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 xml:space="preserve">Students embark on a profound exploration of Ethnic Studies, engaging </w:t>
      </w:r>
      <w:r w:rsidRPr="3456D772" w:rsidR="10D4A62F">
        <w:rPr>
          <w:rFonts w:ascii="Aptos" w:hAnsi="Aptos" w:eastAsia="" w:cs="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 xml:space="preserve">in critical analysis and application of key concepts within the context of </w:t>
      </w:r>
      <w:r w:rsidRPr="3456D772" w:rsidR="10D4A62F">
        <w:rPr>
          <w:rFonts w:ascii="Aptos" w:hAnsi="Aptos" w:eastAsia="" w:cs="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 xml:space="preserve">the four autonomous disciplines: African American Studies, Native </w:t>
      </w:r>
      <w:r w:rsidRPr="3456D772" w:rsidR="10D4A62F">
        <w:rPr>
          <w:rFonts w:ascii="Aptos" w:hAnsi="Aptos" w:eastAsia="" w:cs="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 xml:space="preserve">American Studies, Chicano/a/x; Latino/a/x Studies/La Raza Studies and </w:t>
      </w:r>
      <w:r w:rsidRPr="3456D772" w:rsidR="10D4A62F">
        <w:rPr>
          <w:rFonts w:ascii="Aptos" w:hAnsi="Aptos" w:eastAsia="" w:cs="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 xml:space="preserve">Asian American Studies. This area focuses on the issues of social </w:t>
      </w:r>
      <w:r>
        <w:tab/>
      </w:r>
      <w:r w:rsidRPr="3456D772" w:rsidR="10D4A62F">
        <w:rPr>
          <w:rFonts w:ascii="Aptos" w:hAnsi="Aptos" w:eastAsia="" w:cs="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>justice, including the promotion of equity and inclusionary practices.</w:t>
      </w:r>
    </w:p>
    <w:p xmlns:wp14="http://schemas.microsoft.com/office/word/2010/wordml" w:rsidP="66270A63" wp14:paraId="61C39D61" wp14:textId="49C402B6">
      <w:pPr>
        <w:pStyle w:val="ListParagraph"/>
        <w:numPr>
          <w:ilvl w:val="0"/>
          <w:numId w:val="1"/>
        </w:numPr>
        <w:spacing w:before="0" w:beforeAutospacing="off" w:after="160" w:afterAutospacing="off" w:line="279" w:lineRule="auto"/>
        <w:ind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3456D772" w:rsidR="7777A804">
        <w:rPr>
          <w:rFonts w:ascii="Aptos" w:hAnsi="Aptos" w:eastAsia="" w:cs="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>Propose the following update to the description of De Anza General Education:</w:t>
      </w:r>
    </w:p>
    <w:p xmlns:wp14="http://schemas.microsoft.com/office/word/2010/wordml" w:rsidP="3456D772" wp14:paraId="733B4360" wp14:textId="002C36A9">
      <w:pPr>
        <w:pStyle w:val="Normal"/>
        <w:spacing w:before="0" w:beforeAutospacing="off" w:after="160" w:afterAutospacing="off" w:line="279" w:lineRule="auto"/>
        <w:ind w:left="0" w:right="0" w:firstLine="720"/>
        <w:jc w:val="left"/>
        <w:rPr>
          <w:rFonts w:ascii="Aptos" w:hAnsi="Aptos" w:eastAsia="" w:cs="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</w:pPr>
      <w:r w:rsidRPr="3456D772" w:rsidR="7777A804">
        <w:rPr>
          <w:rFonts w:ascii="Aptos" w:hAnsi="Aptos" w:eastAsia="" w:cs="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 xml:space="preserve">Area </w:t>
      </w:r>
      <w:r w:rsidRPr="3456D772" w:rsidR="6E8B6CF8">
        <w:rPr>
          <w:rFonts w:ascii="Aptos" w:hAnsi="Aptos" w:eastAsia="" w:cs="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>2</w:t>
      </w:r>
      <w:r w:rsidRPr="3456D772" w:rsidR="7777A804">
        <w:rPr>
          <w:rFonts w:ascii="Aptos" w:hAnsi="Aptos" w:eastAsia="" w:cs="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 xml:space="preserve"> </w:t>
      </w:r>
      <w:r w:rsidRPr="3456D772" w:rsidR="7B656FF3">
        <w:rPr>
          <w:rFonts w:ascii="Aptos" w:hAnsi="Aptos" w:eastAsia="" w:cs="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>Mathematical Concepts and Quantitative Reasoning</w:t>
      </w:r>
      <w:r w:rsidRPr="3456D772" w:rsidR="01ECB9C2">
        <w:rPr>
          <w:rFonts w:ascii="Aptos" w:hAnsi="Aptos" w:eastAsia="" w:cs="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>:</w:t>
      </w:r>
    </w:p>
    <w:p xmlns:wp14="http://schemas.microsoft.com/office/word/2010/wordml" w:rsidP="484AA3DF" wp14:paraId="45981CB4" wp14:textId="12B6998B">
      <w:pPr>
        <w:pStyle w:val="Normal"/>
        <w:spacing w:before="0" w:beforeAutospacing="off" w:after="160" w:afterAutospacing="off" w:line="279" w:lineRule="auto"/>
        <w:ind w:left="0" w:right="0" w:firstLine="72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484AA3DF" w:rsidR="42EB63D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Proficiency</w:t>
      </w:r>
      <w:r w:rsidRPr="484AA3DF" w:rsidR="42EB63D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in mathematical </w:t>
      </w:r>
      <w:r w:rsidRPr="484AA3DF" w:rsidR="42EB63D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concepts and/or quantitative reasoning is vital for </w:t>
      </w:r>
      <w:r>
        <w:tab/>
      </w:r>
      <w:r w:rsidRPr="484AA3DF" w:rsidR="42EB63D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fostering a versatile, and </w:t>
      </w:r>
      <w:r w:rsidRPr="484AA3DF" w:rsidR="42EB63D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adaptable mind in the face of the challenges presented </w:t>
      </w:r>
      <w:r>
        <w:tab/>
      </w:r>
      <w:r w:rsidRPr="484AA3DF" w:rsidR="42EB63D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in academic pursuits, </w:t>
      </w:r>
      <w:r w:rsidRPr="484AA3DF" w:rsidR="42EB63D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professional settings, and in the digital world we live in. The </w:t>
      </w:r>
      <w:r>
        <w:tab/>
      </w:r>
      <w:r w:rsidRPr="484AA3DF" w:rsidR="42EB63D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courses in this area </w:t>
      </w:r>
      <w:r w:rsidRPr="484AA3DF" w:rsidR="42EB63D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comprise</w:t>
      </w:r>
      <w:r w:rsidRPr="484AA3DF" w:rsidR="42EB63D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of disciplines such as mathematics, statistics, logic, </w:t>
      </w:r>
      <w:r>
        <w:tab/>
      </w:r>
      <w:r w:rsidRPr="484AA3DF" w:rsidR="42EB63D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computer science </w:t>
      </w:r>
      <w:r w:rsidRPr="484AA3DF" w:rsidR="42EB63D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and other related disciplines.</w:t>
      </w:r>
    </w:p>
    <w:p w:rsidR="7E22D6CD" w:rsidP="484AA3DF" w:rsidRDefault="7E22D6CD" w14:paraId="596995AC" w14:textId="562AE700">
      <w:pPr>
        <w:pStyle w:val="Normal"/>
        <w:spacing w:before="0" w:beforeAutospacing="off" w:after="160" w:afterAutospacing="off" w:line="279" w:lineRule="auto"/>
        <w:ind w:left="0" w:right="0" w:firstLine="720"/>
        <w:jc w:val="left"/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</w:pPr>
      <w:r w:rsidRPr="484AA3DF" w:rsidR="7E22D6C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[Title 5 reference: S55061(c)(2)] </w:t>
      </w:r>
      <w:r w:rsidRPr="484AA3DF" w:rsidR="0F4D01D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- </w:t>
      </w:r>
      <w:r w:rsidRPr="484AA3DF" w:rsidR="62D37B86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 xml:space="preserve">Mathematical Concepts and Quantitative </w:t>
      </w:r>
      <w:r>
        <w:tab/>
      </w:r>
      <w:r>
        <w:tab/>
      </w:r>
      <w:r w:rsidRPr="484AA3DF" w:rsidR="62D37B86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 xml:space="preserve">Reasoning (minimum of 3 semester / 4 quarter units). Courses fulfilling this </w:t>
      </w:r>
      <w:r>
        <w:tab/>
      </w:r>
      <w:r>
        <w:tab/>
      </w:r>
      <w:r w:rsidRPr="484AA3DF" w:rsidR="62D37B86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 xml:space="preserve">requirement must be at least college-level and may include mathematics or </w:t>
      </w:r>
      <w:r>
        <w:tab/>
      </w:r>
      <w:r>
        <w:tab/>
      </w:r>
      <w:r w:rsidRPr="484AA3DF" w:rsidR="62D37B86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 xml:space="preserve">quantitative reasoning courses, including logic, statistics, computer languages, </w:t>
      </w:r>
      <w:r>
        <w:tab/>
      </w:r>
      <w:r w:rsidRPr="484AA3DF" w:rsidR="62D37B86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and related disciplines.</w:t>
      </w:r>
    </w:p>
    <w:p w:rsidR="6157C25B" w:rsidP="484AA3DF" w:rsidRDefault="6157C25B" w14:paraId="124ECD09" w14:textId="778298BE">
      <w:pPr>
        <w:pStyle w:val="ListParagraph"/>
        <w:numPr>
          <w:ilvl w:val="0"/>
          <w:numId w:val="1"/>
        </w:numPr>
        <w:spacing w:before="0" w:beforeAutospacing="off" w:after="160" w:afterAutospacing="off" w:line="279" w:lineRule="auto"/>
        <w:ind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484AA3DF" w:rsidR="6157C2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The GE Subcommittee has acknowledged that besides standard math courses, other academic areas also teach math concepts and quantitative reasoning effectively. Different subject areas, such as logic</w:t>
      </w:r>
      <w:r w:rsidRPr="484AA3DF" w:rsidR="26CA72E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(philosophy)</w:t>
      </w:r>
      <w:r w:rsidRPr="484AA3DF" w:rsidR="6157C2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, statistics, computer science and other related disciplines contribute to developing mathematical skills. The main question now is figuring out how much of a course should actively involve math to be considered for inclusion in Area 2. This strategy will promote quantitative reasoning across diverse academic disciplines, offering a broader range of choices for students with varying majors.</w:t>
      </w:r>
    </w:p>
    <w:p xmlns:wp14="http://schemas.microsoft.com/office/word/2010/wordml" w:rsidP="3456D772" wp14:paraId="7C28FC2E" wp14:textId="18BDFA11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 w:line="279" w:lineRule="auto"/>
        <w:ind w:right="-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84AA3DF" w:rsidR="208FB73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Maintaining the Physical/Mental Wellness and Personal Development area. </w:t>
      </w:r>
      <w:r w:rsidRPr="484AA3DF" w:rsidR="117BA8C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Change labelling from area E to area 7 as an </w:t>
      </w:r>
      <w:r w:rsidRPr="484AA3DF" w:rsidR="117BA8C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additional</w:t>
      </w:r>
      <w:r w:rsidRPr="484AA3DF" w:rsidR="117BA8C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local GE area requirement. </w:t>
      </w:r>
      <w:r w:rsidRPr="484AA3DF" w:rsidR="5DEB043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</w:t>
      </w:r>
      <w:r w:rsidRPr="484AA3DF" w:rsidR="1474A3B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he GE Pattern survey show</w:t>
      </w:r>
      <w:r w:rsidRPr="484AA3DF" w:rsidR="0266427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</w:t>
      </w:r>
      <w:r w:rsidRPr="484AA3DF" w:rsidR="1474A3B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that 77% of </w:t>
      </w:r>
      <w:r w:rsidRPr="484AA3DF" w:rsidR="5D9FBE1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60 </w:t>
      </w:r>
      <w:r w:rsidRPr="484AA3DF" w:rsidR="1474A3B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Faculty Members who responded agree that this requirement should be </w:t>
      </w:r>
      <w:r w:rsidRPr="484AA3DF" w:rsidR="1474A3B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retained</w:t>
      </w:r>
      <w:r w:rsidRPr="484AA3DF" w:rsidR="1474A3B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 the interest of students</w:t>
      </w:r>
      <w:r w:rsidRPr="484AA3DF" w:rsidR="476E63D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’ mental and physical health well-being. </w:t>
      </w:r>
      <w:r w:rsidRPr="484AA3DF" w:rsidR="41218D4F">
        <w:rPr>
          <w:rFonts w:ascii="Aptos" w:hAnsi="Aptos" w:eastAsia="" w:cs="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 xml:space="preserve">Physical/mental wellness and personal responsibility is one of De Anza’s institutional core competencies. </w:t>
      </w:r>
      <w:r w:rsidRPr="484AA3DF" w:rsidR="6524B3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Further, </w:t>
      </w:r>
      <w:r w:rsidRPr="484AA3DF" w:rsidR="3E5F34F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Academic Senate for California Community Colleges </w:t>
      </w:r>
      <w:r w:rsidRPr="484AA3DF" w:rsidR="7B3833A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encourages</w:t>
      </w:r>
      <w:r w:rsidRPr="484AA3DF" w:rsidR="3E5F34F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local academic senates to </w:t>
      </w:r>
      <w:r w:rsidRPr="484AA3DF" w:rsidR="3E5F34F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initi</w:t>
      </w:r>
      <w:r w:rsidRPr="484AA3DF" w:rsidR="3E5F34F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ate</w:t>
      </w:r>
      <w:r w:rsidRPr="484AA3DF" w:rsidR="3E5F34F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rei</w:t>
      </w:r>
      <w:r w:rsidRPr="484AA3DF" w:rsidR="3E5F34F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nstate, or </w:t>
      </w:r>
      <w:r w:rsidRPr="484AA3DF" w:rsidR="3E5F34F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maint</w:t>
      </w:r>
      <w:r w:rsidRPr="484AA3DF" w:rsidR="3E5F34F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ain</w:t>
      </w:r>
      <w:r w:rsidRPr="484AA3DF" w:rsidR="3E5F34F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kine</w:t>
      </w:r>
      <w:r w:rsidRPr="484AA3DF" w:rsidR="3E5F34F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siology, physical education, and health education courses in local general education.</w:t>
      </w:r>
      <w:r w:rsidRPr="484AA3DF" w:rsidR="3C18EA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This resolution was passed in the fall 23 plenary. See details in the following link.</w:t>
      </w:r>
      <w:r w:rsidRPr="484AA3DF" w:rsidR="3E5F34F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hyperlink r:id="R512cb425c0164c5c">
        <w:r w:rsidRPr="484AA3DF" w:rsidR="3E5F34F2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https://asccc.org/resolutions/addressing-health-and-well-being-crisis-among-californias-community-college-students</w:t>
        </w:r>
      </w:hyperlink>
    </w:p>
    <w:p xmlns:wp14="http://schemas.microsoft.com/office/word/2010/wordml" w:rsidP="3456D772" wp14:paraId="099C3443" wp14:textId="5700FBE3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 w:line="279" w:lineRule="auto"/>
        <w:ind w:right="-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84AA3DF" w:rsidR="32257BE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GE Subcommittee proposes to keep the ESGC graduation requirement </w:t>
      </w:r>
      <w:r w:rsidRPr="484AA3DF" w:rsidR="0A75E3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because the courses that are approved for this requirement help students to become </w:t>
      </w:r>
      <w:r w:rsidRPr="484AA3DF" w:rsidR="5EB136F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interconnected </w:t>
      </w:r>
      <w:r w:rsidRPr="484AA3DF" w:rsidR="6ED24C0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citizens </w:t>
      </w:r>
      <w:r w:rsidRPr="484AA3DF" w:rsidR="172626D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aware of our </w:t>
      </w:r>
      <w:r w:rsidRPr="484AA3DF" w:rsidR="1840F6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most serious environmental, equity and social justice problems in a </w:t>
      </w:r>
      <w:r w:rsidRPr="484AA3DF" w:rsidR="172626D0">
        <w:rPr>
          <w:rFonts w:ascii="Aptos" w:hAnsi="Aptos" w:eastAsia="" w:cs="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>continually changing global world</w:t>
      </w:r>
      <w:r w:rsidRPr="484AA3DF" w:rsidR="37C0D2C5">
        <w:rPr>
          <w:rFonts w:ascii="Aptos" w:hAnsi="Aptos" w:eastAsia="" w:cs="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>.</w:t>
      </w:r>
      <w:r w:rsidRPr="484AA3DF" w:rsidR="322E433B">
        <w:rPr>
          <w:rFonts w:ascii="Aptos" w:hAnsi="Aptos" w:eastAsia="" w:cs="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 xml:space="preserve"> There is interest among Faculty Members to have more courses approved for ESGC criteria. </w:t>
      </w:r>
    </w:p>
    <w:p xmlns:wp14="http://schemas.microsoft.com/office/word/2010/wordml" w:rsidP="3456D772" wp14:paraId="20A253F5" wp14:textId="68A75E5B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 w:line="279" w:lineRule="auto"/>
        <w:ind w:right="-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84AA3DF" w:rsidR="6EDF257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It is our belief that a general education pa</w:t>
      </w:r>
      <w:r w:rsidRPr="484AA3DF" w:rsidR="6EDF257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ttern should be more than a mere accumulation of units</w:t>
      </w:r>
      <w:r w:rsidRPr="484AA3DF" w:rsidR="7AA49D7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or simply fulfilling </w:t>
      </w:r>
      <w:r w:rsidRPr="484AA3DF" w:rsidR="4FF0F31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 State</w:t>
      </w:r>
      <w:r w:rsidRPr="484AA3DF" w:rsidR="3F87CD6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-mandated transfer pattern</w:t>
      </w:r>
      <w:r w:rsidRPr="484AA3DF" w:rsidR="6EDF257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but </w:t>
      </w:r>
      <w:r w:rsidRPr="484AA3DF" w:rsidR="6EDF257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rather a</w:t>
      </w:r>
      <w:r w:rsidRPr="484AA3DF" w:rsidR="6EDF257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84AA3DF" w:rsidR="3B6FE8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way to educate well-rounded individuals. </w:t>
      </w:r>
      <w:r w:rsidRPr="484AA3DF" w:rsidR="1B5565B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All the graduation requirements fit into De Anza’s mission statement and core competencies. </w:t>
      </w:r>
    </w:p>
    <w:p xmlns:wp14="http://schemas.microsoft.com/office/word/2010/wordml" w:rsidP="66270A63" wp14:paraId="2C078E63" wp14:textId="4154FE48">
      <w:pPr>
        <w:pStyle w:val="Normal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OTYlrRe2a60goV" int2:id="1WVQrV0M">
      <int2:state int2:type="AugLoop_Text_Critique" int2:value="Rejected"/>
    </int2:textHash>
    <int2:bookmark int2:bookmarkName="_Int_tZpHxi3s" int2:invalidationBookmarkName="" int2:hashCode="MpqnFO4K6lfpZ9" int2:id="hKyV4DOT">
      <int2:state int2:type="AugLoop_Text_Critique" int2:value="Rejected"/>
    </int2:bookmark>
    <int2:bookmark int2:bookmarkName="_Int_rSWPPyYj" int2:invalidationBookmarkName="" int2:hashCode="MpqnFO4K6lfpZ9" int2:id="UT8d0WxU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7ef7c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ac661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57abeae"/>
    <w:multiLevelType xmlns:w="http://schemas.openxmlformats.org/wordprocessingml/2006/main" w:val="hybridMultilevel"/>
    <w:lvl xmlns:w="http://schemas.openxmlformats.org/wordprocessingml/2006/main" w:ilvl="0">
      <w:start w:val="2"/>
      <w:numFmt w:val="upperLetter"/>
      <w:lvlText w:val="(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3ca930b9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(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52ecbb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e5dbfd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EFD6AA"/>
    <w:rsid w:val="00979329"/>
    <w:rsid w:val="015C627B"/>
    <w:rsid w:val="01ECB9C2"/>
    <w:rsid w:val="02045C2B"/>
    <w:rsid w:val="023B7BDC"/>
    <w:rsid w:val="02664271"/>
    <w:rsid w:val="03275149"/>
    <w:rsid w:val="036685C1"/>
    <w:rsid w:val="0455C8BF"/>
    <w:rsid w:val="05025622"/>
    <w:rsid w:val="050EA45E"/>
    <w:rsid w:val="077E025A"/>
    <w:rsid w:val="07E764D4"/>
    <w:rsid w:val="0895814E"/>
    <w:rsid w:val="08AABD60"/>
    <w:rsid w:val="09AD2BC8"/>
    <w:rsid w:val="0A34FBE8"/>
    <w:rsid w:val="0A75E35B"/>
    <w:rsid w:val="0A89247F"/>
    <w:rsid w:val="0B03FEBF"/>
    <w:rsid w:val="0B48FC29"/>
    <w:rsid w:val="0BAB6D63"/>
    <w:rsid w:val="0C2D7608"/>
    <w:rsid w:val="0C655A99"/>
    <w:rsid w:val="0CB9365F"/>
    <w:rsid w:val="0D278C83"/>
    <w:rsid w:val="0D75F8FC"/>
    <w:rsid w:val="0D7E2E83"/>
    <w:rsid w:val="0DD0550D"/>
    <w:rsid w:val="0DE07021"/>
    <w:rsid w:val="0E8838F0"/>
    <w:rsid w:val="0F4D01D0"/>
    <w:rsid w:val="0FC8253D"/>
    <w:rsid w:val="0FE385E1"/>
    <w:rsid w:val="10D4A62F"/>
    <w:rsid w:val="1100E72B"/>
    <w:rsid w:val="117BA8C5"/>
    <w:rsid w:val="12447B00"/>
    <w:rsid w:val="128D321E"/>
    <w:rsid w:val="13E3673E"/>
    <w:rsid w:val="13EFD6AA"/>
    <w:rsid w:val="1474A3B1"/>
    <w:rsid w:val="14A1C010"/>
    <w:rsid w:val="14E8E788"/>
    <w:rsid w:val="14EECF54"/>
    <w:rsid w:val="15132283"/>
    <w:rsid w:val="15D993C4"/>
    <w:rsid w:val="15FF348E"/>
    <w:rsid w:val="1696CB54"/>
    <w:rsid w:val="172626D0"/>
    <w:rsid w:val="17A504F1"/>
    <w:rsid w:val="1840F6D9"/>
    <w:rsid w:val="187A57F3"/>
    <w:rsid w:val="1913E696"/>
    <w:rsid w:val="19631A85"/>
    <w:rsid w:val="19934639"/>
    <w:rsid w:val="19E3C1EF"/>
    <w:rsid w:val="1A162854"/>
    <w:rsid w:val="1A2D9364"/>
    <w:rsid w:val="1A8CFD79"/>
    <w:rsid w:val="1B198574"/>
    <w:rsid w:val="1B5565B8"/>
    <w:rsid w:val="1BB1F8B5"/>
    <w:rsid w:val="1C28CDDA"/>
    <w:rsid w:val="1C736A90"/>
    <w:rsid w:val="1CD31C82"/>
    <w:rsid w:val="1CE199EF"/>
    <w:rsid w:val="1CFF7972"/>
    <w:rsid w:val="1D4DC916"/>
    <w:rsid w:val="1DC167CD"/>
    <w:rsid w:val="1DE757B9"/>
    <w:rsid w:val="1E0F30FB"/>
    <w:rsid w:val="1E8A7791"/>
    <w:rsid w:val="1EE99977"/>
    <w:rsid w:val="1EFBCF1E"/>
    <w:rsid w:val="1F83281A"/>
    <w:rsid w:val="1FC41CBD"/>
    <w:rsid w:val="208569D8"/>
    <w:rsid w:val="208FB734"/>
    <w:rsid w:val="20BCB1C5"/>
    <w:rsid w:val="21362233"/>
    <w:rsid w:val="21C21853"/>
    <w:rsid w:val="2209EFE2"/>
    <w:rsid w:val="22980F5E"/>
    <w:rsid w:val="2359C887"/>
    <w:rsid w:val="235DE8B4"/>
    <w:rsid w:val="2580938B"/>
    <w:rsid w:val="262F138C"/>
    <w:rsid w:val="26A43534"/>
    <w:rsid w:val="26CA72EB"/>
    <w:rsid w:val="272FC094"/>
    <w:rsid w:val="276B8081"/>
    <w:rsid w:val="29A2BCAF"/>
    <w:rsid w:val="2AA32143"/>
    <w:rsid w:val="2BA13A88"/>
    <w:rsid w:val="2BF15961"/>
    <w:rsid w:val="2C02F121"/>
    <w:rsid w:val="2C51E990"/>
    <w:rsid w:val="2CB8F9FF"/>
    <w:rsid w:val="2D231D5B"/>
    <w:rsid w:val="2DA97195"/>
    <w:rsid w:val="2DAA6BD3"/>
    <w:rsid w:val="2E8510AD"/>
    <w:rsid w:val="2E9D1FAE"/>
    <w:rsid w:val="2EB55C9B"/>
    <w:rsid w:val="2FB80818"/>
    <w:rsid w:val="2FDA57D7"/>
    <w:rsid w:val="305ABE1D"/>
    <w:rsid w:val="3075B2A4"/>
    <w:rsid w:val="307EC159"/>
    <w:rsid w:val="31AB0069"/>
    <w:rsid w:val="31F68E7E"/>
    <w:rsid w:val="32257BE3"/>
    <w:rsid w:val="322E433B"/>
    <w:rsid w:val="333F5973"/>
    <w:rsid w:val="33AB873C"/>
    <w:rsid w:val="342AE6DF"/>
    <w:rsid w:val="3456D772"/>
    <w:rsid w:val="35D53B23"/>
    <w:rsid w:val="3606E384"/>
    <w:rsid w:val="3676FA35"/>
    <w:rsid w:val="36C06E80"/>
    <w:rsid w:val="36FF7BBA"/>
    <w:rsid w:val="372E9151"/>
    <w:rsid w:val="37C0D2C5"/>
    <w:rsid w:val="39221837"/>
    <w:rsid w:val="39221837"/>
    <w:rsid w:val="398C4C87"/>
    <w:rsid w:val="3A01A063"/>
    <w:rsid w:val="3A82E0D9"/>
    <w:rsid w:val="3A9A2863"/>
    <w:rsid w:val="3B4B37DE"/>
    <w:rsid w:val="3B6FE885"/>
    <w:rsid w:val="3B7EC0FD"/>
    <w:rsid w:val="3B854934"/>
    <w:rsid w:val="3B870BE9"/>
    <w:rsid w:val="3C18EAC6"/>
    <w:rsid w:val="3C35F8C4"/>
    <w:rsid w:val="3CB3D2D3"/>
    <w:rsid w:val="3CEA27B5"/>
    <w:rsid w:val="3D29BBB7"/>
    <w:rsid w:val="3D526982"/>
    <w:rsid w:val="3DFE6EE2"/>
    <w:rsid w:val="3E074F70"/>
    <w:rsid w:val="3E5F34F2"/>
    <w:rsid w:val="3E5FBDAA"/>
    <w:rsid w:val="3F7C1D69"/>
    <w:rsid w:val="3F87CD66"/>
    <w:rsid w:val="3F947A67"/>
    <w:rsid w:val="400147AC"/>
    <w:rsid w:val="403E8D08"/>
    <w:rsid w:val="4087ADA3"/>
    <w:rsid w:val="40B11867"/>
    <w:rsid w:val="41218D4F"/>
    <w:rsid w:val="420BB0BD"/>
    <w:rsid w:val="42131B94"/>
    <w:rsid w:val="42AD27CE"/>
    <w:rsid w:val="42EB63D4"/>
    <w:rsid w:val="432D7651"/>
    <w:rsid w:val="4385815C"/>
    <w:rsid w:val="43B0702F"/>
    <w:rsid w:val="43E2AAF6"/>
    <w:rsid w:val="4543517F"/>
    <w:rsid w:val="456FF9FE"/>
    <w:rsid w:val="45D75761"/>
    <w:rsid w:val="4698E093"/>
    <w:rsid w:val="46DE7FD0"/>
    <w:rsid w:val="476E63D7"/>
    <w:rsid w:val="484AA3DF"/>
    <w:rsid w:val="4899E18B"/>
    <w:rsid w:val="49402987"/>
    <w:rsid w:val="4A4E3144"/>
    <w:rsid w:val="4A7E9F79"/>
    <w:rsid w:val="4B461531"/>
    <w:rsid w:val="4B767688"/>
    <w:rsid w:val="4C059D9B"/>
    <w:rsid w:val="4CFB6C28"/>
    <w:rsid w:val="4EE991B5"/>
    <w:rsid w:val="4FB5AC94"/>
    <w:rsid w:val="4FE9AC81"/>
    <w:rsid w:val="4FF0F31C"/>
    <w:rsid w:val="4FF7A5AB"/>
    <w:rsid w:val="50C176C6"/>
    <w:rsid w:val="52DBD0A2"/>
    <w:rsid w:val="52E70BCD"/>
    <w:rsid w:val="53084705"/>
    <w:rsid w:val="539E9173"/>
    <w:rsid w:val="53D40CD1"/>
    <w:rsid w:val="5456AE75"/>
    <w:rsid w:val="54B26966"/>
    <w:rsid w:val="55858144"/>
    <w:rsid w:val="5592063F"/>
    <w:rsid w:val="56058432"/>
    <w:rsid w:val="59B5C6FC"/>
    <w:rsid w:val="59C67275"/>
    <w:rsid w:val="5B51975D"/>
    <w:rsid w:val="5B88AE32"/>
    <w:rsid w:val="5C2BDA2E"/>
    <w:rsid w:val="5C63CA75"/>
    <w:rsid w:val="5C730301"/>
    <w:rsid w:val="5D9FBE17"/>
    <w:rsid w:val="5DEB0434"/>
    <w:rsid w:val="5DF50B69"/>
    <w:rsid w:val="5E0ED362"/>
    <w:rsid w:val="5E22E1EA"/>
    <w:rsid w:val="5E2AA01E"/>
    <w:rsid w:val="5EB136FF"/>
    <w:rsid w:val="5EE0E0D6"/>
    <w:rsid w:val="60398E0F"/>
    <w:rsid w:val="61520C3F"/>
    <w:rsid w:val="6157C25B"/>
    <w:rsid w:val="62208166"/>
    <w:rsid w:val="62C87C8C"/>
    <w:rsid w:val="62D37B86"/>
    <w:rsid w:val="62D8EF64"/>
    <w:rsid w:val="63B409F8"/>
    <w:rsid w:val="6474BFC5"/>
    <w:rsid w:val="6490385D"/>
    <w:rsid w:val="64ACDF9C"/>
    <w:rsid w:val="64B9B389"/>
    <w:rsid w:val="6524B3D8"/>
    <w:rsid w:val="652582B8"/>
    <w:rsid w:val="654FDA59"/>
    <w:rsid w:val="65580FE0"/>
    <w:rsid w:val="65D0E22D"/>
    <w:rsid w:val="66109026"/>
    <w:rsid w:val="66270A63"/>
    <w:rsid w:val="66499199"/>
    <w:rsid w:val="665322BA"/>
    <w:rsid w:val="66C49481"/>
    <w:rsid w:val="66EBAABA"/>
    <w:rsid w:val="670A01BF"/>
    <w:rsid w:val="67AC6087"/>
    <w:rsid w:val="683D2D3F"/>
    <w:rsid w:val="690A5D36"/>
    <w:rsid w:val="6943B047"/>
    <w:rsid w:val="696809FE"/>
    <w:rsid w:val="69801029"/>
    <w:rsid w:val="698AC37C"/>
    <w:rsid w:val="6A1644F1"/>
    <w:rsid w:val="6A1C0299"/>
    <w:rsid w:val="6A31CF5F"/>
    <w:rsid w:val="6A333591"/>
    <w:rsid w:val="6AB14001"/>
    <w:rsid w:val="6AD7F4B8"/>
    <w:rsid w:val="6B2AF076"/>
    <w:rsid w:val="6BCD9FC0"/>
    <w:rsid w:val="6BCF05F2"/>
    <w:rsid w:val="6CA3E438"/>
    <w:rsid w:val="6D03A03A"/>
    <w:rsid w:val="6D22C7A5"/>
    <w:rsid w:val="6E5E349F"/>
    <w:rsid w:val="6E8B6CF8"/>
    <w:rsid w:val="6ED24C00"/>
    <w:rsid w:val="6EDF2576"/>
    <w:rsid w:val="6EF273A6"/>
    <w:rsid w:val="6F5A1087"/>
    <w:rsid w:val="7149609E"/>
    <w:rsid w:val="716D2796"/>
    <w:rsid w:val="716F042D"/>
    <w:rsid w:val="718B0C4F"/>
    <w:rsid w:val="718B14A3"/>
    <w:rsid w:val="7196ED98"/>
    <w:rsid w:val="71CB6A04"/>
    <w:rsid w:val="721D6A8B"/>
    <w:rsid w:val="72CDDF6E"/>
    <w:rsid w:val="7308F7F7"/>
    <w:rsid w:val="73410636"/>
    <w:rsid w:val="73BF2F39"/>
    <w:rsid w:val="73E8FC44"/>
    <w:rsid w:val="73F02B37"/>
    <w:rsid w:val="748993CA"/>
    <w:rsid w:val="75055AB4"/>
    <w:rsid w:val="75CFB7E1"/>
    <w:rsid w:val="76085E05"/>
    <w:rsid w:val="76468D06"/>
    <w:rsid w:val="76A0DE94"/>
    <w:rsid w:val="7777A804"/>
    <w:rsid w:val="77DC691A"/>
    <w:rsid w:val="77E25D67"/>
    <w:rsid w:val="784F9C83"/>
    <w:rsid w:val="7891F3B4"/>
    <w:rsid w:val="78C712AC"/>
    <w:rsid w:val="79C8FAE5"/>
    <w:rsid w:val="79DD9134"/>
    <w:rsid w:val="79EF6383"/>
    <w:rsid w:val="7A475119"/>
    <w:rsid w:val="7A7B81DC"/>
    <w:rsid w:val="7AA49D71"/>
    <w:rsid w:val="7AA7D850"/>
    <w:rsid w:val="7B19FE29"/>
    <w:rsid w:val="7B3833A3"/>
    <w:rsid w:val="7B656FF3"/>
    <w:rsid w:val="7C21F7E8"/>
    <w:rsid w:val="7D88E7A3"/>
    <w:rsid w:val="7DB0969B"/>
    <w:rsid w:val="7DB3229E"/>
    <w:rsid w:val="7E22D6CD"/>
    <w:rsid w:val="7E4091B5"/>
    <w:rsid w:val="7EA62CDD"/>
    <w:rsid w:val="7ED82D85"/>
    <w:rsid w:val="7EFC0065"/>
    <w:rsid w:val="7F72C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FD6AA"/>
  <w15:chartTrackingRefBased/>
  <w15:docId w15:val="{0060D836-B9CE-4BBA-B28B-A877488E2B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w:type="paragraph" w:styleId="appendix-list" w:customStyle="true">
    <w:uiPriority w:val="99"/>
    <w:name w:val="appendix-list"/>
    <w:basedOn w:val="Normal"/>
    <w:rsid w:val="3456D772"/>
    <w:rPr>
      <w:rFonts w:ascii="Times New Roman" w:hAnsi="Times New Roman" w:eastAsia="Calibri" w:cs="Times New Roman"/>
      <w:sz w:val="24"/>
      <w:szCs w:val="24"/>
      <w:lang w:eastAsia="en-US"/>
    </w:rPr>
    <w:pPr>
      <w:numPr>
        <w:ilvl w:val="0"/>
        <w:numId w:val="1"/>
      </w:numPr>
      <w:tabs>
        <w:tab w:val="left" w:leader="none" w:pos="1800"/>
        <w:tab w:val="num" w:leader="none" w:pos="720"/>
      </w:tabs>
      <w:spacing w:before="0" w:after="120"/>
      <w:ind w:left="72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foothilldeanza-my.sharepoint.com/:b:/g/personal/20245600_fhda_edu/EWga-wO-wVtDhY6eiBf7WrMBH3ZBXolnW0tut837c8J-IQ?e=HuQXaz" TargetMode="External" Id="Rc41b0780a2b04fc2" /><Relationship Type="http://schemas.microsoft.com/office/2020/10/relationships/intelligence" Target="intelligence2.xml" Id="R02341f07cae94a80" /><Relationship Type="http://schemas.openxmlformats.org/officeDocument/2006/relationships/numbering" Target="numbering.xml" Id="R51ce7560b3a84cf1" /><Relationship Type="http://schemas.openxmlformats.org/officeDocument/2006/relationships/hyperlink" Target="https://www.deanza.edu/articulation/documents/ge-aa-as-dac_2324.pdf" TargetMode="External" Id="R874e53eb43f14570" /><Relationship Type="http://schemas.openxmlformats.org/officeDocument/2006/relationships/hyperlink" Target="https://www.cccco.edu/-/media/CCCCO-Website/docs/regulatory-action/bgccc-associate-degree-final-reg-text-a11y.pdf?la=en&amp;hash=C88E0D34E31E975523EEE00E88CCAB1965D5AB64" TargetMode="External" Id="R6c2f690801b04f37" /><Relationship Type="http://schemas.openxmlformats.org/officeDocument/2006/relationships/hyperlink" Target="https://asccc.org/resolutions/addressing-health-and-well-being-crisis-among-californias-community-college-students" TargetMode="External" Id="R512cb425c0164c5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2024-03-01T00:45:19.0104220Z</dcterms:created>
  <dcterms:modified xsi:type="dcterms:W3CDTF">2024-04-12T18:55:11.3477768Z</dcterms:modified>
  <dc:creator>Catherina Wong</dc:creator>
  <lastModifiedBy>Catherina Wong</lastModifiedBy>
</coreProperties>
</file>