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B59" w:rsidRPr="00C82B59" w:rsidRDefault="00C82B59" w:rsidP="00C82B59">
      <w:pPr>
        <w:rPr>
          <w:rFonts w:ascii="Times" w:eastAsia="Times New Roman" w:hAnsi="Times"/>
          <w:sz w:val="20"/>
          <w:szCs w:val="20"/>
        </w:rPr>
      </w:pPr>
      <w:r w:rsidRPr="00C82B59">
        <w:rPr>
          <w:rFonts w:ascii="Times" w:eastAsia="Times New Roman" w:hAnsi="Times"/>
          <w:sz w:val="20"/>
          <w:szCs w:val="20"/>
        </w:rPr>
        <w:t xml:space="preserve">Title: Melville's 'Bartleby' as Psychological Double </w:t>
      </w:r>
    </w:p>
    <w:p w:rsidR="00C82B59" w:rsidRPr="00C82B59" w:rsidRDefault="00C82B59" w:rsidP="00C82B59">
      <w:pPr>
        <w:rPr>
          <w:rFonts w:ascii="Times" w:eastAsia="Times New Roman" w:hAnsi="Times"/>
          <w:sz w:val="20"/>
          <w:szCs w:val="20"/>
        </w:rPr>
      </w:pPr>
      <w:r w:rsidRPr="00C82B59">
        <w:rPr>
          <w:rFonts w:ascii="Times" w:eastAsia="Times New Roman" w:hAnsi="Times"/>
          <w:sz w:val="20"/>
          <w:szCs w:val="20"/>
        </w:rPr>
        <w:t xml:space="preserve">Author(s): Mordecai Marcus </w:t>
      </w:r>
    </w:p>
    <w:p w:rsidR="00C82B59" w:rsidRPr="00C82B59" w:rsidRDefault="00C82B59" w:rsidP="00C82B59">
      <w:pPr>
        <w:rPr>
          <w:rFonts w:ascii="Times" w:eastAsia="Times New Roman" w:hAnsi="Times"/>
          <w:sz w:val="20"/>
          <w:szCs w:val="20"/>
        </w:rPr>
      </w:pPr>
      <w:r w:rsidRPr="00C82B59">
        <w:rPr>
          <w:rFonts w:ascii="Times" w:eastAsia="Times New Roman" w:hAnsi="Times"/>
          <w:sz w:val="20"/>
          <w:szCs w:val="20"/>
        </w:rPr>
        <w:t xml:space="preserve">Publication Details: College English 23.5 (Feb. 1962): p365-368. </w:t>
      </w:r>
    </w:p>
    <w:p w:rsidR="00C82B59" w:rsidRPr="00C82B59" w:rsidRDefault="00C82B59" w:rsidP="00C82B59">
      <w:pPr>
        <w:rPr>
          <w:rFonts w:ascii="Times" w:eastAsia="Times New Roman" w:hAnsi="Times"/>
          <w:sz w:val="20"/>
          <w:szCs w:val="20"/>
        </w:rPr>
      </w:pPr>
      <w:r w:rsidRPr="00C82B59">
        <w:rPr>
          <w:rFonts w:ascii="Times" w:eastAsia="Times New Roman" w:hAnsi="Times"/>
          <w:sz w:val="20"/>
          <w:szCs w:val="20"/>
        </w:rPr>
        <w:t xml:space="preserve">Source: </w:t>
      </w:r>
      <w:r w:rsidRPr="00C82B59">
        <w:rPr>
          <w:rFonts w:ascii="Times" w:eastAsia="Times New Roman" w:hAnsi="Times"/>
          <w:b/>
          <w:bCs/>
          <w:i/>
          <w:iCs/>
          <w:sz w:val="20"/>
          <w:szCs w:val="20"/>
        </w:rPr>
        <w:t>Nineteenth-Century Literature Criticism.</w:t>
      </w:r>
      <w:r w:rsidRPr="00C82B59">
        <w:rPr>
          <w:rFonts w:ascii="Times" w:eastAsia="Times New Roman" w:hAnsi="Times"/>
          <w:sz w:val="20"/>
          <w:szCs w:val="20"/>
        </w:rPr>
        <w:t xml:space="preserve"> Ed. Marie </w:t>
      </w:r>
      <w:proofErr w:type="spellStart"/>
      <w:r w:rsidRPr="00C82B59">
        <w:rPr>
          <w:rFonts w:ascii="Times" w:eastAsia="Times New Roman" w:hAnsi="Times"/>
          <w:sz w:val="20"/>
          <w:szCs w:val="20"/>
        </w:rPr>
        <w:t>Lazzari</w:t>
      </w:r>
      <w:proofErr w:type="spellEnd"/>
      <w:r w:rsidRPr="00C82B59">
        <w:rPr>
          <w:rFonts w:ascii="Times" w:eastAsia="Times New Roman" w:hAnsi="Times"/>
          <w:sz w:val="20"/>
          <w:szCs w:val="20"/>
        </w:rPr>
        <w:t xml:space="preserve">. Vol. 49. Detroit: Gale Research, 1995. From </w:t>
      </w:r>
      <w:r w:rsidRPr="00C82B59">
        <w:rPr>
          <w:rFonts w:ascii="Times" w:eastAsia="Times New Roman" w:hAnsi="Times"/>
          <w:i/>
          <w:iCs/>
          <w:sz w:val="20"/>
          <w:szCs w:val="20"/>
        </w:rPr>
        <w:t>Literature Resource Center</w:t>
      </w:r>
      <w:r w:rsidRPr="00C82B59">
        <w:rPr>
          <w:rFonts w:ascii="Times" w:eastAsia="Times New Roman" w:hAnsi="Times"/>
          <w:sz w:val="20"/>
          <w:szCs w:val="20"/>
        </w:rPr>
        <w:t xml:space="preserve">. </w:t>
      </w:r>
    </w:p>
    <w:p w:rsidR="00C82B59" w:rsidRPr="00C82B59" w:rsidRDefault="00C82B59" w:rsidP="00C82B59">
      <w:pPr>
        <w:rPr>
          <w:rFonts w:ascii="Times" w:eastAsia="Times New Roman" w:hAnsi="Times"/>
          <w:sz w:val="20"/>
          <w:szCs w:val="20"/>
        </w:rPr>
      </w:pPr>
      <w:r w:rsidRPr="00C82B59">
        <w:rPr>
          <w:rFonts w:ascii="Times" w:eastAsia="Times New Roman" w:hAnsi="Times"/>
          <w:sz w:val="20"/>
          <w:szCs w:val="20"/>
        </w:rPr>
        <w:t xml:space="preserve">Document Type: Critical essay </w:t>
      </w:r>
    </w:p>
    <w:p w:rsidR="00C82B59" w:rsidRPr="00C82B59" w:rsidRDefault="00C82B59" w:rsidP="00C82B59">
      <w:pPr>
        <w:rPr>
          <w:rFonts w:ascii="Times" w:eastAsia="Times New Roman" w:hAnsi="Times"/>
          <w:sz w:val="20"/>
          <w:szCs w:val="20"/>
        </w:rPr>
      </w:pPr>
      <w:r>
        <w:rPr>
          <w:rFonts w:ascii="Times" w:eastAsia="Times New Roman" w:hAnsi="Times"/>
          <w:noProof/>
          <w:color w:val="0000FF"/>
          <w:sz w:val="20"/>
          <w:szCs w:val="20"/>
        </w:rPr>
        <w:drawing>
          <wp:inline distT="0" distB="0" distL="0" distR="0">
            <wp:extent cx="1854200" cy="635000"/>
            <wp:effectExtent l="0" t="0" r="0" b="0"/>
            <wp:docPr id="1" name="Picture 1" descr="al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e">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4200" cy="635000"/>
                    </a:xfrm>
                    <a:prstGeom prst="rect">
                      <a:avLst/>
                    </a:prstGeom>
                    <a:noFill/>
                    <a:ln>
                      <a:noFill/>
                    </a:ln>
                  </pic:spPr>
                </pic:pic>
              </a:graphicData>
            </a:graphic>
          </wp:inline>
        </w:drawing>
      </w:r>
    </w:p>
    <w:p w:rsidR="00C82B59" w:rsidRPr="00C82B59" w:rsidRDefault="00C82B59" w:rsidP="00C82B59">
      <w:pPr>
        <w:rPr>
          <w:rFonts w:ascii="Times" w:eastAsia="Times New Roman" w:hAnsi="Times"/>
          <w:sz w:val="20"/>
          <w:szCs w:val="20"/>
        </w:rPr>
      </w:pPr>
      <w:r w:rsidRPr="00C82B59">
        <w:rPr>
          <w:rFonts w:ascii="Times" w:eastAsia="Times New Roman" w:hAnsi="Times"/>
          <w:sz w:val="20"/>
          <w:szCs w:val="20"/>
        </w:rPr>
        <w:t xml:space="preserve">Full Text: COPYRIGHT 1995 Gale Research, COPYRIGHT 2007 Gale, </w:t>
      </w:r>
      <w:proofErr w:type="spellStart"/>
      <w:proofErr w:type="gramStart"/>
      <w:r w:rsidRPr="00C82B59">
        <w:rPr>
          <w:rFonts w:ascii="Times" w:eastAsia="Times New Roman" w:hAnsi="Times"/>
          <w:sz w:val="20"/>
          <w:szCs w:val="20"/>
        </w:rPr>
        <w:t>Cengage</w:t>
      </w:r>
      <w:proofErr w:type="spellEnd"/>
      <w:proofErr w:type="gramEnd"/>
      <w:r w:rsidRPr="00C82B59">
        <w:rPr>
          <w:rFonts w:ascii="Times" w:eastAsia="Times New Roman" w:hAnsi="Times"/>
          <w:sz w:val="20"/>
          <w:szCs w:val="20"/>
        </w:rPr>
        <w:t xml:space="preserve"> Learning </w:t>
      </w:r>
    </w:p>
    <w:p w:rsidR="00C82B59" w:rsidRPr="00C82B59" w:rsidRDefault="00C82B59" w:rsidP="00C82B59">
      <w:pPr>
        <w:rPr>
          <w:rFonts w:ascii="Times" w:eastAsia="Times New Roman" w:hAnsi="Times"/>
          <w:sz w:val="20"/>
          <w:szCs w:val="20"/>
        </w:rPr>
      </w:pPr>
      <w:r w:rsidRPr="00C82B59">
        <w:rPr>
          <w:rFonts w:ascii="Times" w:eastAsia="Times New Roman" w:hAnsi="Times"/>
          <w:sz w:val="20"/>
          <w:szCs w:val="20"/>
        </w:rPr>
        <w:t>Full Text: </w:t>
      </w:r>
    </w:p>
    <w:p w:rsidR="00C82B59" w:rsidRPr="00C82B59" w:rsidRDefault="00C82B59" w:rsidP="00C82B59">
      <w:pPr>
        <w:spacing w:before="100" w:beforeAutospacing="1" w:after="100" w:afterAutospacing="1"/>
        <w:rPr>
          <w:rFonts w:ascii="Times" w:hAnsi="Times"/>
          <w:sz w:val="20"/>
          <w:szCs w:val="20"/>
        </w:rPr>
      </w:pPr>
      <w:r w:rsidRPr="00C82B59">
        <w:rPr>
          <w:rFonts w:ascii="Times" w:hAnsi="Times"/>
          <w:sz w:val="20"/>
          <w:szCs w:val="20"/>
        </w:rPr>
        <w:t>[In the following essay, Marcus argues that Bartleby is a psychological double for the lawyer-narrator of “Bartleby the Scrivener.”]</w:t>
      </w:r>
    </w:p>
    <w:p w:rsidR="00C82B59" w:rsidRPr="00C82B59" w:rsidRDefault="00C82B59" w:rsidP="00C82B59">
      <w:pPr>
        <w:spacing w:before="100" w:beforeAutospacing="1" w:after="100" w:afterAutospacing="1"/>
        <w:rPr>
          <w:rFonts w:ascii="Times" w:hAnsi="Times"/>
          <w:sz w:val="20"/>
          <w:szCs w:val="20"/>
        </w:rPr>
      </w:pPr>
      <w:r w:rsidRPr="00C82B59">
        <w:rPr>
          <w:rFonts w:ascii="Times" w:hAnsi="Times"/>
          <w:sz w:val="20"/>
          <w:szCs w:val="20"/>
        </w:rPr>
        <w:t xml:space="preserve">Most interpreters of Melville's haunting story </w:t>
      </w:r>
      <w:r w:rsidRPr="00C82B59">
        <w:rPr>
          <w:rFonts w:ascii="Times" w:hAnsi="Times"/>
          <w:b/>
          <w:bCs/>
          <w:sz w:val="20"/>
          <w:szCs w:val="20"/>
        </w:rPr>
        <w:t>“Bartleby the Scrivener”</w:t>
      </w:r>
      <w:r w:rsidRPr="00C82B59">
        <w:rPr>
          <w:rFonts w:ascii="Times" w:hAnsi="Times"/>
          <w:sz w:val="20"/>
          <w:szCs w:val="20"/>
        </w:rPr>
        <w:t xml:space="preserve"> (1853) have seen it as a somewhat allegorical comment on Melville's plight as a writer after the publication of </w:t>
      </w:r>
      <w:r w:rsidRPr="00C82B59">
        <w:rPr>
          <w:rFonts w:ascii="Times" w:hAnsi="Times"/>
          <w:b/>
          <w:bCs/>
          <w:i/>
          <w:iCs/>
          <w:sz w:val="20"/>
          <w:szCs w:val="20"/>
        </w:rPr>
        <w:t>Moby Dick</w:t>
      </w:r>
      <w:r w:rsidRPr="00C82B59">
        <w:rPr>
          <w:rFonts w:ascii="Times" w:hAnsi="Times"/>
          <w:sz w:val="20"/>
          <w:szCs w:val="20"/>
        </w:rPr>
        <w:t xml:space="preserve"> and </w:t>
      </w:r>
      <w:r w:rsidRPr="00C82B59">
        <w:rPr>
          <w:rFonts w:ascii="Times" w:hAnsi="Times"/>
          <w:b/>
          <w:bCs/>
          <w:i/>
          <w:iCs/>
          <w:sz w:val="20"/>
          <w:szCs w:val="20"/>
        </w:rPr>
        <w:t>Pierre</w:t>
      </w:r>
      <w:r w:rsidRPr="00C82B59">
        <w:rPr>
          <w:rFonts w:ascii="Times" w:hAnsi="Times"/>
          <w:sz w:val="20"/>
          <w:szCs w:val="20"/>
        </w:rPr>
        <w:t>. Others have suggested that the story dramatizes the conflict between absolutism and free will in its protagonist, that it shows the destructive power of irrationality or that it criticizes the sterility and impersonality of a business society. The last of these interpretations seems to me the most accurate, and the others suffer either from an inability to adjust the parts of the story to Melville's experience (or that of any serious writer), or to adjust the parts to one another.</w:t>
      </w:r>
    </w:p>
    <w:p w:rsidR="00C82B59" w:rsidRPr="00C82B59" w:rsidRDefault="00C82B59" w:rsidP="00C82B59">
      <w:pPr>
        <w:spacing w:before="100" w:beforeAutospacing="1" w:after="100" w:afterAutospacing="1"/>
        <w:rPr>
          <w:rFonts w:ascii="Times" w:hAnsi="Times"/>
          <w:sz w:val="20"/>
          <w:szCs w:val="20"/>
        </w:rPr>
      </w:pPr>
      <w:r w:rsidRPr="00C82B59">
        <w:rPr>
          <w:rFonts w:ascii="Times" w:hAnsi="Times"/>
          <w:sz w:val="20"/>
          <w:szCs w:val="20"/>
        </w:rPr>
        <w:t xml:space="preserve">I believe that the character of Bartleby is a psychological double for the story's nameless lawyer-narrator, and that the story's criticism of a sterile and impersonal society can best be clarified by investigation of this role. Melville's use of psychological doubles in </w:t>
      </w:r>
      <w:r w:rsidRPr="00C82B59">
        <w:rPr>
          <w:rFonts w:ascii="Times" w:hAnsi="Times"/>
          <w:b/>
          <w:bCs/>
          <w:i/>
          <w:iCs/>
          <w:sz w:val="20"/>
          <w:szCs w:val="20"/>
        </w:rPr>
        <w:t>Mardi</w:t>
      </w:r>
      <w:r w:rsidRPr="00C82B59">
        <w:rPr>
          <w:rFonts w:ascii="Times" w:hAnsi="Times"/>
          <w:sz w:val="20"/>
          <w:szCs w:val="20"/>
        </w:rPr>
        <w:t xml:space="preserve">, </w:t>
      </w:r>
      <w:r w:rsidRPr="00C82B59">
        <w:rPr>
          <w:rFonts w:ascii="Times" w:hAnsi="Times"/>
          <w:b/>
          <w:bCs/>
          <w:i/>
          <w:iCs/>
          <w:sz w:val="20"/>
          <w:szCs w:val="20"/>
        </w:rPr>
        <w:t>Moby Dick</w:t>
      </w:r>
      <w:r w:rsidRPr="00C82B59">
        <w:rPr>
          <w:rFonts w:ascii="Times" w:hAnsi="Times"/>
          <w:sz w:val="20"/>
          <w:szCs w:val="20"/>
        </w:rPr>
        <w:t xml:space="preserve">, and </w:t>
      </w:r>
      <w:r w:rsidRPr="00C82B59">
        <w:rPr>
          <w:rFonts w:ascii="Times" w:hAnsi="Times"/>
          <w:b/>
          <w:bCs/>
          <w:i/>
          <w:iCs/>
          <w:sz w:val="20"/>
          <w:szCs w:val="20"/>
        </w:rPr>
        <w:t>Pierre</w:t>
      </w:r>
      <w:r w:rsidRPr="00C82B59">
        <w:rPr>
          <w:rFonts w:ascii="Times" w:hAnsi="Times"/>
          <w:sz w:val="20"/>
          <w:szCs w:val="20"/>
        </w:rPr>
        <w:t xml:space="preserve"> has been widely and convincingly discussed. Probably Melville's most effective double is </w:t>
      </w:r>
      <w:proofErr w:type="spellStart"/>
      <w:r w:rsidRPr="00C82B59">
        <w:rPr>
          <w:rFonts w:ascii="Times" w:hAnsi="Times"/>
          <w:sz w:val="20"/>
          <w:szCs w:val="20"/>
        </w:rPr>
        <w:t>Fedallah</w:t>
      </w:r>
      <w:proofErr w:type="spellEnd"/>
      <w:r w:rsidRPr="00C82B59">
        <w:rPr>
          <w:rFonts w:ascii="Times" w:hAnsi="Times"/>
          <w:sz w:val="20"/>
          <w:szCs w:val="20"/>
        </w:rPr>
        <w:t xml:space="preserve">, Ahab's shadowy, compulsive, and despairing counterpart. Bartleby's role and significance as a double remain less evident than </w:t>
      </w:r>
      <w:proofErr w:type="spellStart"/>
      <w:r w:rsidRPr="00C82B59">
        <w:rPr>
          <w:rFonts w:ascii="Times" w:hAnsi="Times"/>
          <w:sz w:val="20"/>
          <w:szCs w:val="20"/>
        </w:rPr>
        <w:t>Fedallah's</w:t>
      </w:r>
      <w:proofErr w:type="spellEnd"/>
      <w:r w:rsidRPr="00C82B59">
        <w:rPr>
          <w:rFonts w:ascii="Times" w:hAnsi="Times"/>
          <w:sz w:val="20"/>
          <w:szCs w:val="20"/>
        </w:rPr>
        <w:t>, for the lawyer is less clearly a divided person than is Ahab, and Bartleby's role as double involves a complex ambiguity. Bartleby appears to the lawyer chiefly to remind him of the inadequacies, the sterile routine, of his world.</w:t>
      </w:r>
    </w:p>
    <w:p w:rsidR="00C82B59" w:rsidRPr="00C82B59" w:rsidRDefault="00C82B59" w:rsidP="00C82B59">
      <w:pPr>
        <w:spacing w:before="100" w:beforeAutospacing="1" w:after="100" w:afterAutospacing="1"/>
        <w:rPr>
          <w:rFonts w:ascii="Times" w:hAnsi="Times"/>
          <w:sz w:val="20"/>
          <w:szCs w:val="20"/>
        </w:rPr>
      </w:pPr>
      <w:r w:rsidRPr="00C82B59">
        <w:rPr>
          <w:rFonts w:ascii="Times" w:hAnsi="Times"/>
          <w:sz w:val="20"/>
          <w:szCs w:val="20"/>
        </w:rPr>
        <w:t>Evidence that Bartleby is a psychological double for the lawyer-narrator is diffused throughout the story, in details about Bartleby and in the lawyer's obsessive concern with and for Bartleby. The fact that Bartleby has no history, as we learn at the beginning of the story and in a later dialogue, suggests that he has emerged from the lawyer's mind. He never leaves the lawyer's offices and he subsists on virtually nothing. After he refuses to work any longer, he becomes a kind of parasite on the lawyer, but the exact nature of his dependence on the lawyer remains mysteriously vague. His persistent refusal to leave despite all inducements and threats implies that he cannot leave, that it is his role in life not to leave the lawyer's establishment. Bartleby's compulsive way of life, calm determination, and otherwise inexplicable tenacity suggest that he is an embodiment of the kind of perverse determination we might expect to flower in the rather gentle and humane lawyer should he give over to an unyielding passivity as a protest against his way of life.</w:t>
      </w:r>
    </w:p>
    <w:p w:rsidR="00C82B59" w:rsidRPr="00C82B59" w:rsidRDefault="00C82B59" w:rsidP="00C82B59">
      <w:pPr>
        <w:spacing w:before="100" w:beforeAutospacing="1" w:after="100" w:afterAutospacing="1"/>
        <w:rPr>
          <w:rFonts w:ascii="Times" w:hAnsi="Times"/>
          <w:sz w:val="20"/>
          <w:szCs w:val="20"/>
        </w:rPr>
      </w:pPr>
      <w:r w:rsidRPr="00C82B59">
        <w:rPr>
          <w:rFonts w:ascii="Times" w:hAnsi="Times"/>
          <w:sz w:val="20"/>
          <w:szCs w:val="20"/>
        </w:rPr>
        <w:t>The behavior of the lawyer gives stronger evidence that Bartleby is his psychological double. The screen which the lawyer places around Bartleby's desk to “isolate Bartleby from my sight, though not remove him from my voice” so that “privacy and society were conjoined” symbolizes the lawyer's compartmentalization of the unconscious forces which Bartleby represents. Nevertheless, Bartleby's power over the lawyer quickly grows as the story progresses, and it grows at least partially in proportion to Bartleby's increasingly infuriating behavior. Towards the beginning of the story the lawyer feels vaguely that “all the justice and all the reason” may lie with Bartleby's astonishing refusal to check his copy. Later the lawyer confesses to being “almost sorry for my brilliant success” when he thinks he has succeeded in evicting the now wholly passive Bartleby; and when he finds that he is mistaken, he admits that Bartleby has a “wondrous ascendancy” over him. Growing used to Bartleby's amazing tenacity, he feels that Bartleby has been “billeted upon me for some mysterious purpose of an all-wise Providence,” and he muses about Bartleby: “I never feel so private as when I know you are here.”</w:t>
      </w:r>
    </w:p>
    <w:p w:rsidR="00C82B59" w:rsidRPr="00C82B59" w:rsidRDefault="00C82B59" w:rsidP="00C82B59">
      <w:pPr>
        <w:spacing w:before="100" w:beforeAutospacing="1" w:after="100" w:afterAutospacing="1"/>
        <w:rPr>
          <w:rFonts w:ascii="Times" w:hAnsi="Times"/>
          <w:sz w:val="20"/>
          <w:szCs w:val="20"/>
        </w:rPr>
      </w:pPr>
      <w:r w:rsidRPr="00C82B59">
        <w:rPr>
          <w:rFonts w:ascii="Times" w:hAnsi="Times"/>
          <w:sz w:val="20"/>
          <w:szCs w:val="20"/>
        </w:rPr>
        <w:lastRenderedPageBreak/>
        <w:t xml:space="preserve">The lawyer finally accepts Bartleby's presence as a natural part of his world, and he admits that without outside interference their strange relationship might have continued indefinitely. But the crisis of the story arrives when his professional friends criticize him for harboring Bartleby and thus lead him to his various struggles to be rid of him. The professional friends represent the rationality of the “normal” social world, an external force </w:t>
      </w:r>
      <w:proofErr w:type="gramStart"/>
      <w:r w:rsidRPr="00C82B59">
        <w:rPr>
          <w:rFonts w:ascii="Times" w:hAnsi="Times"/>
          <w:sz w:val="20"/>
          <w:szCs w:val="20"/>
        </w:rPr>
        <w:t>which</w:t>
      </w:r>
      <w:proofErr w:type="gramEnd"/>
      <w:r w:rsidRPr="00C82B59">
        <w:rPr>
          <w:rFonts w:ascii="Times" w:hAnsi="Times"/>
          <w:sz w:val="20"/>
          <w:szCs w:val="20"/>
        </w:rPr>
        <w:t xml:space="preserve"> recalls the lawyer from his tentative acceptance of the voice of apparent unreason represented by Bartleby. When he finally resorts to moving out of his offices in order to leave Bartleby behind, he declares “Strange to say—I tore myself from him whom I had so longed to be rid of.”</w:t>
      </w:r>
    </w:p>
    <w:p w:rsidR="00C82B59" w:rsidRPr="00C82B59" w:rsidRDefault="00C82B59" w:rsidP="00C82B59">
      <w:pPr>
        <w:spacing w:before="100" w:beforeAutospacing="1" w:after="100" w:afterAutospacing="1"/>
        <w:rPr>
          <w:rFonts w:ascii="Times" w:hAnsi="Times"/>
          <w:sz w:val="20"/>
          <w:szCs w:val="20"/>
        </w:rPr>
      </w:pPr>
      <w:r w:rsidRPr="00C82B59">
        <w:rPr>
          <w:rFonts w:ascii="Times" w:hAnsi="Times"/>
          <w:sz w:val="20"/>
          <w:szCs w:val="20"/>
        </w:rPr>
        <w:t xml:space="preserve">The lawyer's intermittently vindictive responses to Bartleby's passivity, which are combined with acceptance of and submission to Bartleby, suggest </w:t>
      </w:r>
      <w:proofErr w:type="gramStart"/>
      <w:r w:rsidRPr="00C82B59">
        <w:rPr>
          <w:rFonts w:ascii="Times" w:hAnsi="Times"/>
          <w:sz w:val="20"/>
          <w:szCs w:val="20"/>
        </w:rPr>
        <w:t>an anger</w:t>
      </w:r>
      <w:proofErr w:type="gramEnd"/>
      <w:r w:rsidRPr="00C82B59">
        <w:rPr>
          <w:rFonts w:ascii="Times" w:hAnsi="Times"/>
          <w:sz w:val="20"/>
          <w:szCs w:val="20"/>
        </w:rPr>
        <w:t xml:space="preserve"> against a force which has invaded himself. The last </w:t>
      </w:r>
      <w:proofErr w:type="gramStart"/>
      <w:r w:rsidRPr="00C82B59">
        <w:rPr>
          <w:rFonts w:ascii="Times" w:hAnsi="Times"/>
          <w:sz w:val="20"/>
          <w:szCs w:val="20"/>
        </w:rPr>
        <w:t>action which suggests identification of the two</w:t>
      </w:r>
      <w:proofErr w:type="gramEnd"/>
      <w:r w:rsidRPr="00C82B59">
        <w:rPr>
          <w:rFonts w:ascii="Times" w:hAnsi="Times"/>
          <w:sz w:val="20"/>
          <w:szCs w:val="20"/>
        </w:rPr>
        <w:t xml:space="preserve"> occurs when in the prison yard Bartleby behaves as if the lawyer is responsible for his imprisonment and perhaps for his hopeless human situation as well.</w:t>
      </w:r>
    </w:p>
    <w:p w:rsidR="00C82B59" w:rsidRPr="00C82B59" w:rsidRDefault="00C82B59" w:rsidP="00C82B59">
      <w:pPr>
        <w:spacing w:before="100" w:beforeAutospacing="1" w:after="100" w:afterAutospacing="1"/>
        <w:rPr>
          <w:rFonts w:ascii="Times" w:hAnsi="Times"/>
          <w:sz w:val="20"/>
          <w:szCs w:val="20"/>
        </w:rPr>
      </w:pPr>
      <w:r w:rsidRPr="00C82B59">
        <w:rPr>
          <w:rFonts w:ascii="Times" w:hAnsi="Times"/>
          <w:sz w:val="20"/>
          <w:szCs w:val="20"/>
        </w:rPr>
        <w:t xml:space="preserve">Bartleby's role as a psychological double is to criticize the sterility, impersonality, and mechanical adjustments of the </w:t>
      </w:r>
      <w:proofErr w:type="gramStart"/>
      <w:r w:rsidRPr="00C82B59">
        <w:rPr>
          <w:rFonts w:ascii="Times" w:hAnsi="Times"/>
          <w:sz w:val="20"/>
          <w:szCs w:val="20"/>
        </w:rPr>
        <w:t>world which</w:t>
      </w:r>
      <w:proofErr w:type="gramEnd"/>
      <w:r w:rsidRPr="00C82B59">
        <w:rPr>
          <w:rFonts w:ascii="Times" w:hAnsi="Times"/>
          <w:sz w:val="20"/>
          <w:szCs w:val="20"/>
        </w:rPr>
        <w:t xml:space="preserve"> the lawyer inhabits. The setting on Wall Street indicates that the characters are in a kind of prison, walled off from the world. The lawyer's position as Master of Chancery suggests the endless routine of courts of equity and the difficulty of finding equity in life. The lawyer's easygoing detachment—he calls himself an “eminently safe man”—represents an attempt at a calm adjustment to the Wall Street world, an adjustment which is threatened by Bartleby's implicit, and also calm, criticism of its endless and sterile routine. Although the humaneness of the lawyer may weaken his symbolic role as a man of Wall Street, it does make him a person to whom the unconscious insights represented by Bartleby might arrive, and who would sympathize with and almost, in a limited sense, yield to Bartleby.</w:t>
      </w:r>
    </w:p>
    <w:p w:rsidR="00C82B59" w:rsidRPr="00C82B59" w:rsidRDefault="00C82B59" w:rsidP="00C82B59">
      <w:pPr>
        <w:spacing w:before="100" w:beforeAutospacing="1" w:after="100" w:afterAutospacing="1"/>
        <w:rPr>
          <w:rFonts w:ascii="Times" w:hAnsi="Times"/>
          <w:sz w:val="20"/>
          <w:szCs w:val="20"/>
        </w:rPr>
      </w:pPr>
      <w:r w:rsidRPr="00C82B59">
        <w:rPr>
          <w:rFonts w:ascii="Times" w:hAnsi="Times"/>
          <w:sz w:val="20"/>
          <w:szCs w:val="20"/>
        </w:rPr>
        <w:t xml:space="preserve">The frustrating sterility and monotony of the </w:t>
      </w:r>
      <w:proofErr w:type="gramStart"/>
      <w:r w:rsidRPr="00C82B59">
        <w:rPr>
          <w:rFonts w:ascii="Times" w:hAnsi="Times"/>
          <w:sz w:val="20"/>
          <w:szCs w:val="20"/>
        </w:rPr>
        <w:t>world which Bartleby enters</w:t>
      </w:r>
      <w:proofErr w:type="gramEnd"/>
      <w:r w:rsidRPr="00C82B59">
        <w:rPr>
          <w:rFonts w:ascii="Times" w:hAnsi="Times"/>
          <w:sz w:val="20"/>
          <w:szCs w:val="20"/>
        </w:rPr>
        <w:t xml:space="preserve"> is further shown in the portraits of the lawyer's two eccentric scriveners, Turkey and Nippers. These men display grotesque adjustments to and comically eccentric protests against the Wall Street world. Both of them are frustrated by their existences. Turkey spends most of his money for liquor, imbibing heavily at lunchtime, presumably to induce a false blaze of </w:t>
      </w:r>
      <w:proofErr w:type="gramStart"/>
      <w:r w:rsidRPr="00C82B59">
        <w:rPr>
          <w:rFonts w:ascii="Times" w:hAnsi="Times"/>
          <w:sz w:val="20"/>
          <w:szCs w:val="20"/>
        </w:rPr>
        <w:t>life which will help him to endure</w:t>
      </w:r>
      <w:proofErr w:type="gramEnd"/>
      <w:r w:rsidRPr="00C82B59">
        <w:rPr>
          <w:rFonts w:ascii="Times" w:hAnsi="Times"/>
          <w:sz w:val="20"/>
          <w:szCs w:val="20"/>
        </w:rPr>
        <w:t xml:space="preserve"> but which makes him useless for work during each afternoon. </w:t>
      </w:r>
      <w:proofErr w:type="gramStart"/>
      <w:r w:rsidRPr="00C82B59">
        <w:rPr>
          <w:rFonts w:ascii="Times" w:hAnsi="Times"/>
          <w:sz w:val="20"/>
          <w:szCs w:val="20"/>
        </w:rPr>
        <w:t>Nippers, on the other hand, needs</w:t>
      </w:r>
      <w:proofErr w:type="gramEnd"/>
      <w:r w:rsidRPr="00C82B59">
        <w:rPr>
          <w:rFonts w:ascii="Times" w:hAnsi="Times"/>
          <w:sz w:val="20"/>
          <w:szCs w:val="20"/>
        </w:rPr>
        <w:t xml:space="preserve"> no artificial stimulant; he possesses a crude radiance of his own, and in the mornings is “charged . . . with an irritable brandy-like disposition,” but at this time of day his work is poor. Nippers can get through life in the office only with the aid of endless re-adjustments of his writing table; no matter how he places it, he is still uncomfortable. Both of these men are least serviceable when they are, in a sense, most alive. Turkey and Nippers combine automaton behavior, self-narcosis, and awkward attempts to preserve their individuality.</w:t>
      </w:r>
    </w:p>
    <w:p w:rsidR="00C82B59" w:rsidRPr="00C82B59" w:rsidRDefault="00C82B59" w:rsidP="00C82B59">
      <w:pPr>
        <w:spacing w:before="100" w:beforeAutospacing="1" w:after="100" w:afterAutospacing="1"/>
        <w:rPr>
          <w:rFonts w:ascii="Times" w:hAnsi="Times"/>
          <w:sz w:val="20"/>
          <w:szCs w:val="20"/>
        </w:rPr>
      </w:pPr>
      <w:r w:rsidRPr="00C82B59">
        <w:rPr>
          <w:rFonts w:ascii="Times" w:hAnsi="Times"/>
          <w:sz w:val="20"/>
          <w:szCs w:val="20"/>
        </w:rPr>
        <w:t xml:space="preserve">Entering this world of mildly smug self-satisfaction and mechanical behavior, Bartleby begins his work eagerly, “as if long famishing for something to copy.” This action probably represents both a hunger for life and a desperate attempt to deaden his sensibilities among such sterile surroundings. Very soon, however, Bartleby evinces the first of his many refusals: he will not help to verify his copy against the original. Apparently Bartleby is willing to act within the lawyer's world, but he refuses all personal contact because it is spurious. His refusal is paradoxical, for he rejects the illusion of personality in an impersonal world by retreating to another kind of </w:t>
      </w:r>
      <w:proofErr w:type="gramStart"/>
      <w:r w:rsidRPr="00C82B59">
        <w:rPr>
          <w:rFonts w:ascii="Times" w:hAnsi="Times"/>
          <w:sz w:val="20"/>
          <w:szCs w:val="20"/>
        </w:rPr>
        <w:t>impersonality which</w:t>
      </w:r>
      <w:proofErr w:type="gramEnd"/>
      <w:r w:rsidRPr="00C82B59">
        <w:rPr>
          <w:rFonts w:ascii="Times" w:hAnsi="Times"/>
          <w:sz w:val="20"/>
          <w:szCs w:val="20"/>
        </w:rPr>
        <w:t xml:space="preserve"> alone makes that world endurable. His insistence that he “prefers not” to conform reflects both his gentleness and the profundity of his rejection of impersonality masking itself as personal contact. As such, it appropriately represents a voice deep within the lawyer himself, a desire to give up his way of life. As the story progresses, Bartleby rejects all activity and refuses to leave; he has discovered that impersonality is not enough to help him endure this world. Bartleby clings to the lawyer because he represents a continuing protest within the lawyer's mind, </w:t>
      </w:r>
      <w:proofErr w:type="gramStart"/>
      <w:r w:rsidRPr="00C82B59">
        <w:rPr>
          <w:rFonts w:ascii="Times" w:hAnsi="Times"/>
          <w:sz w:val="20"/>
          <w:szCs w:val="20"/>
        </w:rPr>
        <w:t>whom</w:t>
      </w:r>
      <w:proofErr w:type="gramEnd"/>
      <w:r w:rsidRPr="00C82B59">
        <w:rPr>
          <w:rFonts w:ascii="Times" w:hAnsi="Times"/>
          <w:sz w:val="20"/>
          <w:szCs w:val="20"/>
        </w:rPr>
        <w:t xml:space="preserve"> he makes “stagger in his own plainest faith.”</w:t>
      </w:r>
    </w:p>
    <w:p w:rsidR="00C82B59" w:rsidRPr="00C82B59" w:rsidRDefault="00C82B59" w:rsidP="00C82B59">
      <w:pPr>
        <w:spacing w:before="100" w:beforeAutospacing="1" w:after="100" w:afterAutospacing="1"/>
        <w:rPr>
          <w:rFonts w:ascii="Times" w:hAnsi="Times"/>
          <w:sz w:val="20"/>
          <w:szCs w:val="20"/>
        </w:rPr>
      </w:pPr>
      <w:r w:rsidRPr="00C82B59">
        <w:rPr>
          <w:rFonts w:ascii="Times" w:hAnsi="Times"/>
          <w:sz w:val="20"/>
          <w:szCs w:val="20"/>
        </w:rPr>
        <w:t xml:space="preserve">As Bartleby's passivity picks up momentum, he moves from the impersonality of copying to the impersonality of contemplating the dead, blind wall which fronts the window near his desk. This wall, and the prison walls “of amazing thickness” at the base of which Bartleby finally lies dead, parallel the images of the whale as “that wall shoved near to me” (Chapter 36) and of the whale's head as a “dead, blind wall” (Chapters 76 and 125) in </w:t>
      </w:r>
      <w:r w:rsidRPr="00C82B59">
        <w:rPr>
          <w:rFonts w:ascii="Times" w:hAnsi="Times"/>
          <w:b/>
          <w:bCs/>
          <w:i/>
          <w:iCs/>
          <w:sz w:val="20"/>
          <w:szCs w:val="20"/>
        </w:rPr>
        <w:t>Moby Dick</w:t>
      </w:r>
      <w:r w:rsidRPr="00C82B59">
        <w:rPr>
          <w:rFonts w:ascii="Times" w:hAnsi="Times"/>
          <w:sz w:val="20"/>
          <w:szCs w:val="20"/>
        </w:rPr>
        <w:t xml:space="preserve">. Noting this parallel [in his “Melville's Parable of the Walls”], Leo Marx takes these images to represent the wall of death. I believe, however, that in both story and novel, they represent chiefly the terror and implacability of existence, against which Ahab actively and Bartleby passively revolt. Both men suggest that, in Ahab's words, “The dead, blind wall butts all inquiring heads at last” (Chapter 125). The wall may also symbolize those </w:t>
      </w:r>
      <w:proofErr w:type="gramStart"/>
      <w:r w:rsidRPr="00C82B59">
        <w:rPr>
          <w:rFonts w:ascii="Times" w:hAnsi="Times"/>
          <w:sz w:val="20"/>
          <w:szCs w:val="20"/>
        </w:rPr>
        <w:t>limitations which</w:t>
      </w:r>
      <w:proofErr w:type="gramEnd"/>
      <w:r w:rsidRPr="00C82B59">
        <w:rPr>
          <w:rFonts w:ascii="Times" w:hAnsi="Times"/>
          <w:sz w:val="20"/>
          <w:szCs w:val="20"/>
        </w:rPr>
        <w:t xml:space="preserve"> give every individual his personal identity, for Ahab's unwillingness to accept his limitations as a suffering man motivates his vindictive drive to pierce the wall.</w:t>
      </w:r>
    </w:p>
    <w:p w:rsidR="00C82B59" w:rsidRPr="00C82B59" w:rsidRDefault="00C82B59" w:rsidP="00C82B59">
      <w:pPr>
        <w:spacing w:before="100" w:beforeAutospacing="1" w:after="100" w:afterAutospacing="1"/>
        <w:rPr>
          <w:rFonts w:ascii="Times" w:hAnsi="Times"/>
          <w:sz w:val="20"/>
          <w:szCs w:val="20"/>
        </w:rPr>
      </w:pPr>
      <w:r w:rsidRPr="00C82B59">
        <w:rPr>
          <w:rFonts w:ascii="Times" w:hAnsi="Times"/>
          <w:sz w:val="20"/>
          <w:szCs w:val="20"/>
        </w:rPr>
        <w:t xml:space="preserve">The parallel between another image in </w:t>
      </w:r>
      <w:r w:rsidRPr="00C82B59">
        <w:rPr>
          <w:rFonts w:ascii="Times" w:hAnsi="Times"/>
          <w:b/>
          <w:bCs/>
          <w:sz w:val="20"/>
          <w:szCs w:val="20"/>
        </w:rPr>
        <w:t>“Bartleby”</w:t>
      </w:r>
      <w:r w:rsidRPr="00C82B59">
        <w:rPr>
          <w:rFonts w:ascii="Times" w:hAnsi="Times"/>
          <w:sz w:val="20"/>
          <w:szCs w:val="20"/>
        </w:rPr>
        <w:t xml:space="preserve"> and a significant symbol in </w:t>
      </w:r>
      <w:r w:rsidRPr="00C82B59">
        <w:rPr>
          <w:rFonts w:ascii="Times" w:hAnsi="Times"/>
          <w:b/>
          <w:bCs/>
          <w:i/>
          <w:iCs/>
          <w:sz w:val="20"/>
          <w:szCs w:val="20"/>
        </w:rPr>
        <w:t>Moby Dick</w:t>
      </w:r>
      <w:r w:rsidRPr="00C82B59">
        <w:rPr>
          <w:rFonts w:ascii="Times" w:hAnsi="Times"/>
          <w:sz w:val="20"/>
          <w:szCs w:val="20"/>
        </w:rPr>
        <w:t xml:space="preserve"> adds to the likelihood that Bartleby represents a force in the lawyer's unconscious mind: Bartleby, “like the last column of some ruined temple ... remained standing mute and solitary in the middle of the otherwise deserted room.” This passage resembles a series of remarkable images which symbolize the unconscious part of Ahab: “those vast Roman halls of </w:t>
      </w:r>
      <w:proofErr w:type="spellStart"/>
      <w:r w:rsidRPr="00C82B59">
        <w:rPr>
          <w:rFonts w:ascii="Times" w:hAnsi="Times"/>
          <w:sz w:val="20"/>
          <w:szCs w:val="20"/>
        </w:rPr>
        <w:t>Thermes</w:t>
      </w:r>
      <w:proofErr w:type="spellEnd"/>
      <w:r w:rsidRPr="00C82B59">
        <w:rPr>
          <w:rFonts w:ascii="Times" w:hAnsi="Times"/>
          <w:sz w:val="20"/>
          <w:szCs w:val="20"/>
        </w:rPr>
        <w:t>,” where man's “awful essence sits . . . like a Caryatid . . . upholding on his frozen brow the piled entablature of ages” (Chapter 41).</w:t>
      </w:r>
    </w:p>
    <w:p w:rsidR="00C82B59" w:rsidRPr="00C82B59" w:rsidRDefault="00C82B59" w:rsidP="00C82B59">
      <w:pPr>
        <w:spacing w:before="100" w:beforeAutospacing="1" w:after="100" w:afterAutospacing="1"/>
        <w:rPr>
          <w:rFonts w:ascii="Times" w:hAnsi="Times"/>
          <w:sz w:val="20"/>
          <w:szCs w:val="20"/>
        </w:rPr>
      </w:pPr>
      <w:r w:rsidRPr="00C82B59">
        <w:rPr>
          <w:rFonts w:ascii="Times" w:hAnsi="Times"/>
          <w:sz w:val="20"/>
          <w:szCs w:val="20"/>
        </w:rPr>
        <w:t xml:space="preserve">The wall in </w:t>
      </w:r>
      <w:r w:rsidRPr="00C82B59">
        <w:rPr>
          <w:rFonts w:ascii="Times" w:hAnsi="Times"/>
          <w:b/>
          <w:bCs/>
          <w:sz w:val="20"/>
          <w:szCs w:val="20"/>
        </w:rPr>
        <w:t>“Bartleby”</w:t>
      </w:r>
      <w:r w:rsidRPr="00C82B59">
        <w:rPr>
          <w:rFonts w:ascii="Times" w:hAnsi="Times"/>
          <w:sz w:val="20"/>
          <w:szCs w:val="20"/>
        </w:rPr>
        <w:t xml:space="preserve"> symbolizes the human condition in the society within which Bartleby feels trapped, and by extension the burden of his own identity within the limitations of such a society. The lawyer's establishment on Wall Street, and the wall which is ten feet from his window (Bartleby's is three feet from his), suggest his slighter awareness of his trapped human condition. When at the end Bartleby lies dead within the prison walls “of amazing thickness,” he has succumbed to the impersonality of his society and to his inability to resist it actively. His assuming the fetal position in death, “his knees drawn up, and lying on his side, his head touching the cold stones,” suggesting a passive retreat to the womb, seems the opposite of Ahab's desire to be a superman who will pierce the wall of limitations and identity.</w:t>
      </w:r>
    </w:p>
    <w:p w:rsidR="00C82B59" w:rsidRPr="00C82B59" w:rsidRDefault="00C82B59" w:rsidP="00C82B59">
      <w:pPr>
        <w:spacing w:before="100" w:beforeAutospacing="1" w:after="100" w:afterAutospacing="1"/>
        <w:rPr>
          <w:rFonts w:ascii="Times" w:hAnsi="Times"/>
          <w:sz w:val="20"/>
          <w:szCs w:val="20"/>
        </w:rPr>
      </w:pPr>
      <w:r w:rsidRPr="00C82B59">
        <w:rPr>
          <w:rFonts w:ascii="Times" w:hAnsi="Times"/>
          <w:sz w:val="20"/>
          <w:szCs w:val="20"/>
        </w:rPr>
        <w:t>However, the symbol of the prison walls is complicated by the appearance within them of a green turf and by the lawyer's exclamation to Bartleby, within the prison, “There is the sky, and here is the grass.” These images of grass symbolize the creative possibilities of life. Bartleby's response to the lawyer's declaration is, “I know where I am,” which is an accusation that the lawyer is responsible for Bartleby's incarceration in the prison of the world. The lawyer's sensitivity to both the validity of Bartleby's general protest and to the creative possibilities which it neglects indicates, I believe, that Bartleby represents a protest within the lawyer which has at least partially taken the form of a death drive. Parallel to this paradox is the fact that Bartleby's protest also resembles the protests of Turkey and Nippers, who combine self-effacement, self-assertion, and self-narcosis.</w:t>
      </w:r>
    </w:p>
    <w:p w:rsidR="00C82B59" w:rsidRPr="00C82B59" w:rsidRDefault="00C82B59" w:rsidP="00C82B59">
      <w:pPr>
        <w:spacing w:before="100" w:beforeAutospacing="1" w:after="100" w:afterAutospacing="1"/>
        <w:rPr>
          <w:rFonts w:ascii="Times" w:hAnsi="Times"/>
          <w:sz w:val="20"/>
          <w:szCs w:val="20"/>
        </w:rPr>
      </w:pPr>
      <w:r w:rsidRPr="00C82B59">
        <w:rPr>
          <w:rFonts w:ascii="Times" w:hAnsi="Times"/>
          <w:sz w:val="20"/>
          <w:szCs w:val="20"/>
        </w:rPr>
        <w:t>The concluding section of the story in which the lawyer seeks for a rational explanation of Bartleby's actions by reporting a rumor that he had worked in the dead letter office in Washington and so had become obsessed with human loneliness seems to me an artificial conclusion tacked on as a concession to popular taste. The lawyer's otherwise final statement that Bartleby lies asleep “with kings and counselors” is probably the story's authentic conclusion, for—despite the hopelessness of Bartleby's position—it attributes profundity and dignity to Bartleby's protest against the sterility of a spiritless society.</w:t>
      </w:r>
    </w:p>
    <w:p w:rsidR="00C82B59" w:rsidRPr="00C82B59" w:rsidRDefault="00C82B59" w:rsidP="00C82B59">
      <w:pPr>
        <w:spacing w:before="100" w:beforeAutospacing="1" w:after="100" w:afterAutospacing="1"/>
        <w:rPr>
          <w:rFonts w:ascii="Times" w:hAnsi="Times"/>
          <w:sz w:val="20"/>
          <w:szCs w:val="20"/>
        </w:rPr>
      </w:pPr>
      <w:r w:rsidRPr="00C82B59">
        <w:rPr>
          <w:rFonts w:ascii="Times" w:hAnsi="Times"/>
          <w:sz w:val="20"/>
          <w:szCs w:val="20"/>
        </w:rPr>
        <w:t>Melville, however, appears to intend further metaphysical speculation. The embodiment of a protest against sterility and impersonality in the passive and finally death-seeking Bartleby may suggest that man is hopelessly trapped by the human condition in an acquisitive society. Thus the lawyer may feel wisdom in Bartleby's final resignation as well as in his protest. The situation, however, is complicated by the likelihood that Bartleby appears as a protest within the lawyer's mind against his way of life, but this protest leads to death, and only the lawyer perceives the creative possibilities that Bartleby ignores.</w:t>
      </w:r>
    </w:p>
    <w:p w:rsidR="00C82B59" w:rsidRPr="00C82B59" w:rsidRDefault="00C82B59" w:rsidP="00C82B59">
      <w:pPr>
        <w:spacing w:before="100" w:beforeAutospacing="1" w:after="100" w:afterAutospacing="1"/>
        <w:rPr>
          <w:rFonts w:ascii="Times" w:hAnsi="Times"/>
          <w:sz w:val="20"/>
          <w:szCs w:val="20"/>
        </w:rPr>
      </w:pPr>
      <w:r w:rsidRPr="00C82B59">
        <w:rPr>
          <w:rFonts w:ascii="Times" w:hAnsi="Times"/>
          <w:sz w:val="20"/>
          <w:szCs w:val="20"/>
        </w:rPr>
        <w:t xml:space="preserve">I do not believe, however, that Melville was suggesting that the lawyer's way of life contained promises of </w:t>
      </w:r>
      <w:proofErr w:type="gramStart"/>
      <w:r w:rsidRPr="00C82B59">
        <w:rPr>
          <w:rFonts w:ascii="Times" w:hAnsi="Times"/>
          <w:sz w:val="20"/>
          <w:szCs w:val="20"/>
        </w:rPr>
        <w:t>creativity which</w:t>
      </w:r>
      <w:proofErr w:type="gramEnd"/>
      <w:r w:rsidRPr="00C82B59">
        <w:rPr>
          <w:rFonts w:ascii="Times" w:hAnsi="Times"/>
          <w:sz w:val="20"/>
          <w:szCs w:val="20"/>
        </w:rPr>
        <w:t xml:space="preserve"> Bartleby could not see. Rather he was suggesting the negative </w:t>
      </w:r>
      <w:proofErr w:type="gramStart"/>
      <w:r w:rsidRPr="00C82B59">
        <w:rPr>
          <w:rFonts w:ascii="Times" w:hAnsi="Times"/>
          <w:sz w:val="20"/>
          <w:szCs w:val="20"/>
        </w:rPr>
        <w:t>course which impulses represented</w:t>
      </w:r>
      <w:proofErr w:type="gramEnd"/>
      <w:r w:rsidRPr="00C82B59">
        <w:rPr>
          <w:rFonts w:ascii="Times" w:hAnsi="Times"/>
          <w:sz w:val="20"/>
          <w:szCs w:val="20"/>
        </w:rPr>
        <w:t xml:space="preserve"> by Bartleby might take, particularly when they emerge in a rather thoroughly sterile environment. Thus the story lacks a thematic resolution. Its conclusion creates not so much a counter-criticism of Bartleby's passivity as an expression of quiet despair about the human predicament. The lawyer is not visibly changed after a struggle with his double, as are Dostoyevsky's </w:t>
      </w:r>
      <w:proofErr w:type="spellStart"/>
      <w:r w:rsidRPr="00C82B59">
        <w:rPr>
          <w:rFonts w:ascii="Times" w:hAnsi="Times"/>
          <w:sz w:val="20"/>
          <w:szCs w:val="20"/>
        </w:rPr>
        <w:t>Raskolnikov</w:t>
      </w:r>
      <w:proofErr w:type="spellEnd"/>
      <w:r w:rsidRPr="00C82B59">
        <w:rPr>
          <w:rFonts w:ascii="Times" w:hAnsi="Times"/>
          <w:sz w:val="20"/>
          <w:szCs w:val="20"/>
        </w:rPr>
        <w:t xml:space="preserve"> or Conrad's young sea captain in “The Secret Sharer.” Neither does he succumb to an intense and destructive despair, although Bartleby has partially represented a subliminal death drive within him. However, the standstill to which the lawyer's insights have brought him does show Melville's imagination moving in the direction of the intense despair found in much contemporary literature.</w:t>
      </w:r>
    </w:p>
    <w:p w:rsidR="00C82B59" w:rsidRPr="00C82B59" w:rsidRDefault="00C82B59" w:rsidP="00C82B59">
      <w:pPr>
        <w:rPr>
          <w:rFonts w:ascii="Times" w:eastAsia="Times New Roman" w:hAnsi="Times"/>
          <w:sz w:val="20"/>
          <w:szCs w:val="20"/>
        </w:rPr>
      </w:pPr>
      <w:r w:rsidRPr="00C82B59">
        <w:rPr>
          <w:rFonts w:ascii="Times" w:eastAsia="Times New Roman" w:hAnsi="Times"/>
          <w:b/>
          <w:bCs/>
          <w:sz w:val="20"/>
          <w:szCs w:val="20"/>
        </w:rPr>
        <w:t>Source Citation</w:t>
      </w:r>
      <w:r w:rsidRPr="00C82B59">
        <w:rPr>
          <w:rFonts w:ascii="Times" w:eastAsia="Times New Roman" w:hAnsi="Times"/>
          <w:sz w:val="20"/>
          <w:szCs w:val="20"/>
        </w:rPr>
        <w:t>   (MLA 7</w:t>
      </w:r>
      <w:r w:rsidRPr="00C82B59">
        <w:rPr>
          <w:rFonts w:ascii="Times" w:eastAsia="Times New Roman" w:hAnsi="Times"/>
          <w:sz w:val="20"/>
          <w:szCs w:val="20"/>
          <w:vertAlign w:val="superscript"/>
        </w:rPr>
        <w:t>th</w:t>
      </w:r>
      <w:r w:rsidRPr="00C82B59">
        <w:rPr>
          <w:rFonts w:ascii="Times" w:eastAsia="Times New Roman" w:hAnsi="Times"/>
          <w:sz w:val="20"/>
          <w:szCs w:val="20"/>
        </w:rPr>
        <w:t xml:space="preserve"> Edition) </w:t>
      </w:r>
    </w:p>
    <w:p w:rsidR="00C82B59" w:rsidRPr="00C82B59" w:rsidRDefault="00C82B59" w:rsidP="00C82B59">
      <w:pPr>
        <w:rPr>
          <w:rFonts w:ascii="Times" w:hAnsi="Times"/>
          <w:sz w:val="20"/>
          <w:szCs w:val="20"/>
        </w:rPr>
      </w:pPr>
      <w:r w:rsidRPr="00C82B59">
        <w:rPr>
          <w:rFonts w:ascii="Times" w:eastAsia="Times New Roman" w:hAnsi="Times"/>
          <w:sz w:val="20"/>
          <w:szCs w:val="20"/>
        </w:rPr>
        <w:t xml:space="preserve">Marcus, Mordecai. "Melville's 'Bartleby' as Psychological Double." </w:t>
      </w:r>
      <w:r w:rsidRPr="00C82B59">
        <w:rPr>
          <w:rFonts w:ascii="Times" w:eastAsia="Times New Roman" w:hAnsi="Times"/>
          <w:i/>
          <w:iCs/>
          <w:sz w:val="20"/>
          <w:szCs w:val="20"/>
        </w:rPr>
        <w:t>College English</w:t>
      </w:r>
      <w:r w:rsidRPr="00C82B59">
        <w:rPr>
          <w:rFonts w:ascii="Times" w:eastAsia="Times New Roman" w:hAnsi="Times"/>
          <w:sz w:val="20"/>
          <w:szCs w:val="20"/>
        </w:rPr>
        <w:t xml:space="preserve"> 23.5 (Feb. 1962): 365-368. </w:t>
      </w:r>
      <w:proofErr w:type="gramStart"/>
      <w:r w:rsidRPr="00C82B59">
        <w:rPr>
          <w:rFonts w:ascii="Times" w:eastAsia="Times New Roman" w:hAnsi="Times"/>
          <w:sz w:val="20"/>
          <w:szCs w:val="20"/>
        </w:rPr>
        <w:t xml:space="preserve">Rpt. in </w:t>
      </w:r>
      <w:r w:rsidRPr="00C82B59">
        <w:rPr>
          <w:rFonts w:ascii="Times" w:eastAsia="Times New Roman" w:hAnsi="Times"/>
          <w:i/>
          <w:iCs/>
          <w:sz w:val="20"/>
          <w:szCs w:val="20"/>
        </w:rPr>
        <w:t>Nineteenth-Century Literature Criticism</w:t>
      </w:r>
      <w:r w:rsidRPr="00C82B59">
        <w:rPr>
          <w:rFonts w:ascii="Times" w:eastAsia="Times New Roman" w:hAnsi="Times"/>
          <w:sz w:val="20"/>
          <w:szCs w:val="20"/>
        </w:rPr>
        <w:t>.</w:t>
      </w:r>
      <w:proofErr w:type="gramEnd"/>
      <w:r w:rsidRPr="00C82B59">
        <w:rPr>
          <w:rFonts w:ascii="Times" w:eastAsia="Times New Roman" w:hAnsi="Times"/>
          <w:sz w:val="20"/>
          <w:szCs w:val="20"/>
        </w:rPr>
        <w:t xml:space="preserve"> Ed. Marie </w:t>
      </w:r>
      <w:proofErr w:type="spellStart"/>
      <w:r w:rsidRPr="00C82B59">
        <w:rPr>
          <w:rFonts w:ascii="Times" w:eastAsia="Times New Roman" w:hAnsi="Times"/>
          <w:sz w:val="20"/>
          <w:szCs w:val="20"/>
        </w:rPr>
        <w:t>Lazzari</w:t>
      </w:r>
      <w:proofErr w:type="spellEnd"/>
      <w:r w:rsidRPr="00C82B59">
        <w:rPr>
          <w:rFonts w:ascii="Times" w:eastAsia="Times New Roman" w:hAnsi="Times"/>
          <w:sz w:val="20"/>
          <w:szCs w:val="20"/>
        </w:rPr>
        <w:t xml:space="preserve">. Vol. 49. Detroit: Gale Research, 1995. </w:t>
      </w:r>
      <w:r w:rsidRPr="00C82B59">
        <w:rPr>
          <w:rFonts w:ascii="Times" w:eastAsia="Times New Roman" w:hAnsi="Times"/>
          <w:i/>
          <w:iCs/>
          <w:sz w:val="20"/>
          <w:szCs w:val="20"/>
        </w:rPr>
        <w:t>Literature Resource Center</w:t>
      </w:r>
      <w:r w:rsidRPr="00C82B59">
        <w:rPr>
          <w:rFonts w:ascii="Times" w:eastAsia="Times New Roman" w:hAnsi="Times"/>
          <w:sz w:val="20"/>
          <w:szCs w:val="20"/>
        </w:rPr>
        <w:t>. Web. 25 Feb. 2015.</w:t>
      </w:r>
    </w:p>
    <w:p w:rsidR="00C82B59" w:rsidRPr="00C82B59" w:rsidRDefault="00C82B59" w:rsidP="00C82B59">
      <w:pPr>
        <w:spacing w:line="312" w:lineRule="atLeast"/>
        <w:rPr>
          <w:rFonts w:ascii="Times" w:eastAsia="Times New Roman" w:hAnsi="Times"/>
          <w:sz w:val="20"/>
          <w:szCs w:val="20"/>
        </w:rPr>
      </w:pPr>
      <w:r w:rsidRPr="00C82B59">
        <w:rPr>
          <w:rFonts w:ascii="Times" w:eastAsia="Times New Roman" w:hAnsi="Times"/>
          <w:sz w:val="20"/>
          <w:szCs w:val="20"/>
        </w:rPr>
        <w:t>URL</w:t>
      </w:r>
      <w:r w:rsidRPr="00C82B59">
        <w:rPr>
          <w:rFonts w:ascii="Times" w:eastAsia="Times New Roman" w:hAnsi="Times"/>
          <w:sz w:val="20"/>
          <w:szCs w:val="20"/>
        </w:rPr>
        <w:br/>
        <w:t>http://ezproxy.fhda.edu</w:t>
      </w:r>
      <w:proofErr w:type="gramStart"/>
      <w:r w:rsidRPr="00C82B59">
        <w:rPr>
          <w:rFonts w:ascii="Times" w:eastAsia="Times New Roman" w:hAnsi="Times"/>
          <w:sz w:val="20"/>
          <w:szCs w:val="20"/>
        </w:rPr>
        <w:t>:2214</w:t>
      </w:r>
      <w:proofErr w:type="gramEnd"/>
      <w:r w:rsidRPr="00C82B59">
        <w:rPr>
          <w:rFonts w:ascii="Times" w:eastAsia="Times New Roman" w:hAnsi="Times"/>
          <w:sz w:val="20"/>
          <w:szCs w:val="20"/>
        </w:rPr>
        <w:t>/ps/i.do?id=GALE%7CH1420000583&amp;v=2.1&amp;u=ccl_deanza&amp;it=r&amp;p=LitRC&amp;sw=w&amp;asid=3e9fef8007392d1dee693f58debd26f8</w:t>
      </w:r>
    </w:p>
    <w:p w:rsidR="00C82B59" w:rsidRPr="00C82B59" w:rsidRDefault="00C82B59" w:rsidP="00C82B59">
      <w:pPr>
        <w:rPr>
          <w:rFonts w:ascii="Times" w:eastAsia="Times New Roman" w:hAnsi="Times"/>
          <w:sz w:val="20"/>
          <w:szCs w:val="20"/>
        </w:rPr>
      </w:pPr>
    </w:p>
    <w:p w:rsidR="00C82B59" w:rsidRPr="00C82B59" w:rsidRDefault="00C82B59" w:rsidP="00C82B59">
      <w:pPr>
        <w:spacing w:before="100" w:beforeAutospacing="1" w:after="100" w:afterAutospacing="1"/>
        <w:rPr>
          <w:rFonts w:ascii="Times" w:hAnsi="Times"/>
          <w:sz w:val="20"/>
          <w:szCs w:val="20"/>
        </w:rPr>
      </w:pPr>
      <w:r w:rsidRPr="00C82B59">
        <w:rPr>
          <w:rFonts w:ascii="Times" w:hAnsi="Times"/>
          <w:b/>
          <w:bCs/>
          <w:sz w:val="20"/>
          <w:szCs w:val="20"/>
        </w:rPr>
        <w:t xml:space="preserve">Gale Document Number: </w:t>
      </w:r>
      <w:r w:rsidRPr="00C82B59">
        <w:rPr>
          <w:rFonts w:ascii="Times" w:hAnsi="Times"/>
          <w:sz w:val="20"/>
          <w:szCs w:val="20"/>
        </w:rPr>
        <w:t xml:space="preserve">GALE|H1420000583 </w:t>
      </w:r>
    </w:p>
    <w:p w:rsidR="00C82B59" w:rsidRPr="00C82B59" w:rsidRDefault="00C82B59" w:rsidP="00C82B59">
      <w:pPr>
        <w:rPr>
          <w:rFonts w:ascii="Times" w:eastAsia="Times New Roman" w:hAnsi="Times"/>
          <w:sz w:val="20"/>
          <w:szCs w:val="20"/>
        </w:rPr>
      </w:pPr>
      <w:r w:rsidRPr="00C82B59">
        <w:rPr>
          <w:rFonts w:ascii="Times" w:eastAsia="Times New Roman" w:hAnsi="Times"/>
          <w:sz w:val="20"/>
          <w:szCs w:val="20"/>
        </w:rPr>
        <w:pict>
          <v:rect id="_x0000_i1026" style="width:0;height:1.5pt" o:hralign="center" o:hrstd="t" o:hr="t" fillcolor="#aaa" stroked="f"/>
        </w:pict>
      </w:r>
    </w:p>
    <w:p w:rsidR="0020618B" w:rsidRDefault="00C82B59">
      <w:bookmarkStart w:id="0" w:name="_GoBack"/>
      <w:bookmarkEnd w:id="0"/>
    </w:p>
    <w:sectPr w:rsidR="0020618B" w:rsidSect="0020618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59"/>
    <w:rsid w:val="006D0417"/>
    <w:rsid w:val="00C82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080FD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ric">
    <w:name w:val="rubric"/>
    <w:basedOn w:val="DefaultParagraphFont"/>
    <w:rsid w:val="00C82B59"/>
  </w:style>
  <w:style w:type="character" w:customStyle="1" w:styleId="definition">
    <w:name w:val="definition"/>
    <w:basedOn w:val="DefaultParagraphFont"/>
    <w:rsid w:val="00C82B59"/>
  </w:style>
  <w:style w:type="character" w:customStyle="1" w:styleId="citation-publication">
    <w:name w:val="citation-publication"/>
    <w:basedOn w:val="DefaultParagraphFont"/>
    <w:rsid w:val="00C82B59"/>
  </w:style>
  <w:style w:type="character" w:customStyle="1" w:styleId="citation-volnumber">
    <w:name w:val="citation-volnumber"/>
    <w:basedOn w:val="DefaultParagraphFont"/>
    <w:rsid w:val="00C82B59"/>
  </w:style>
  <w:style w:type="character" w:customStyle="1" w:styleId="citation-pubdate">
    <w:name w:val="citation-pubdate"/>
    <w:basedOn w:val="DefaultParagraphFont"/>
    <w:rsid w:val="00C82B59"/>
  </w:style>
  <w:style w:type="character" w:customStyle="1" w:styleId="citation-page">
    <w:name w:val="citation-page"/>
    <w:basedOn w:val="DefaultParagraphFont"/>
    <w:rsid w:val="00C82B59"/>
  </w:style>
  <w:style w:type="character" w:customStyle="1" w:styleId="citation-from">
    <w:name w:val="citation-from"/>
    <w:basedOn w:val="DefaultParagraphFont"/>
    <w:rsid w:val="00C82B59"/>
  </w:style>
  <w:style w:type="character" w:styleId="Emphasis">
    <w:name w:val="Emphasis"/>
    <w:basedOn w:val="DefaultParagraphFont"/>
    <w:uiPriority w:val="20"/>
    <w:qFormat/>
    <w:rsid w:val="00C82B59"/>
    <w:rPr>
      <w:i/>
      <w:iCs/>
    </w:rPr>
  </w:style>
  <w:style w:type="character" w:customStyle="1" w:styleId="doctype">
    <w:name w:val="doctype"/>
    <w:basedOn w:val="DefaultParagraphFont"/>
    <w:rsid w:val="00C82B59"/>
  </w:style>
  <w:style w:type="paragraph" w:styleId="NormalWeb">
    <w:name w:val="Normal (Web)"/>
    <w:basedOn w:val="Normal"/>
    <w:uiPriority w:val="99"/>
    <w:semiHidden/>
    <w:unhideWhenUsed/>
    <w:rsid w:val="00C82B59"/>
    <w:pPr>
      <w:spacing w:before="100" w:beforeAutospacing="1" w:after="100" w:afterAutospacing="1"/>
    </w:pPr>
    <w:rPr>
      <w:rFonts w:ascii="Times" w:hAnsi="Times"/>
      <w:sz w:val="20"/>
      <w:szCs w:val="20"/>
    </w:rPr>
  </w:style>
  <w:style w:type="character" w:customStyle="1" w:styleId="small">
    <w:name w:val="small"/>
    <w:basedOn w:val="DefaultParagraphFont"/>
    <w:rsid w:val="00C82B59"/>
  </w:style>
  <w:style w:type="character" w:customStyle="1" w:styleId="citation">
    <w:name w:val="citation"/>
    <w:basedOn w:val="DefaultParagraphFont"/>
    <w:rsid w:val="00C82B59"/>
  </w:style>
  <w:style w:type="character" w:customStyle="1" w:styleId="tgnumber">
    <w:name w:val="tgnumber"/>
    <w:basedOn w:val="DefaultParagraphFont"/>
    <w:rsid w:val="00C82B59"/>
  </w:style>
  <w:style w:type="paragraph" w:styleId="BalloonText">
    <w:name w:val="Balloon Text"/>
    <w:basedOn w:val="Normal"/>
    <w:link w:val="BalloonTextChar"/>
    <w:uiPriority w:val="99"/>
    <w:semiHidden/>
    <w:unhideWhenUsed/>
    <w:rsid w:val="00C82B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2B59"/>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ric">
    <w:name w:val="rubric"/>
    <w:basedOn w:val="DefaultParagraphFont"/>
    <w:rsid w:val="00C82B59"/>
  </w:style>
  <w:style w:type="character" w:customStyle="1" w:styleId="definition">
    <w:name w:val="definition"/>
    <w:basedOn w:val="DefaultParagraphFont"/>
    <w:rsid w:val="00C82B59"/>
  </w:style>
  <w:style w:type="character" w:customStyle="1" w:styleId="citation-publication">
    <w:name w:val="citation-publication"/>
    <w:basedOn w:val="DefaultParagraphFont"/>
    <w:rsid w:val="00C82B59"/>
  </w:style>
  <w:style w:type="character" w:customStyle="1" w:styleId="citation-volnumber">
    <w:name w:val="citation-volnumber"/>
    <w:basedOn w:val="DefaultParagraphFont"/>
    <w:rsid w:val="00C82B59"/>
  </w:style>
  <w:style w:type="character" w:customStyle="1" w:styleId="citation-pubdate">
    <w:name w:val="citation-pubdate"/>
    <w:basedOn w:val="DefaultParagraphFont"/>
    <w:rsid w:val="00C82B59"/>
  </w:style>
  <w:style w:type="character" w:customStyle="1" w:styleId="citation-page">
    <w:name w:val="citation-page"/>
    <w:basedOn w:val="DefaultParagraphFont"/>
    <w:rsid w:val="00C82B59"/>
  </w:style>
  <w:style w:type="character" w:customStyle="1" w:styleId="citation-from">
    <w:name w:val="citation-from"/>
    <w:basedOn w:val="DefaultParagraphFont"/>
    <w:rsid w:val="00C82B59"/>
  </w:style>
  <w:style w:type="character" w:styleId="Emphasis">
    <w:name w:val="Emphasis"/>
    <w:basedOn w:val="DefaultParagraphFont"/>
    <w:uiPriority w:val="20"/>
    <w:qFormat/>
    <w:rsid w:val="00C82B59"/>
    <w:rPr>
      <w:i/>
      <w:iCs/>
    </w:rPr>
  </w:style>
  <w:style w:type="character" w:customStyle="1" w:styleId="doctype">
    <w:name w:val="doctype"/>
    <w:basedOn w:val="DefaultParagraphFont"/>
    <w:rsid w:val="00C82B59"/>
  </w:style>
  <w:style w:type="paragraph" w:styleId="NormalWeb">
    <w:name w:val="Normal (Web)"/>
    <w:basedOn w:val="Normal"/>
    <w:uiPriority w:val="99"/>
    <w:semiHidden/>
    <w:unhideWhenUsed/>
    <w:rsid w:val="00C82B59"/>
    <w:pPr>
      <w:spacing w:before="100" w:beforeAutospacing="1" w:after="100" w:afterAutospacing="1"/>
    </w:pPr>
    <w:rPr>
      <w:rFonts w:ascii="Times" w:hAnsi="Times"/>
      <w:sz w:val="20"/>
      <w:szCs w:val="20"/>
    </w:rPr>
  </w:style>
  <w:style w:type="character" w:customStyle="1" w:styleId="small">
    <w:name w:val="small"/>
    <w:basedOn w:val="DefaultParagraphFont"/>
    <w:rsid w:val="00C82B59"/>
  </w:style>
  <w:style w:type="character" w:customStyle="1" w:styleId="citation">
    <w:name w:val="citation"/>
    <w:basedOn w:val="DefaultParagraphFont"/>
    <w:rsid w:val="00C82B59"/>
  </w:style>
  <w:style w:type="character" w:customStyle="1" w:styleId="tgnumber">
    <w:name w:val="tgnumber"/>
    <w:basedOn w:val="DefaultParagraphFont"/>
    <w:rsid w:val="00C82B59"/>
  </w:style>
  <w:style w:type="paragraph" w:styleId="BalloonText">
    <w:name w:val="Balloon Text"/>
    <w:basedOn w:val="Normal"/>
    <w:link w:val="BalloonTextChar"/>
    <w:uiPriority w:val="99"/>
    <w:semiHidden/>
    <w:unhideWhenUsed/>
    <w:rsid w:val="00C82B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2B59"/>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385665">
      <w:bodyDiv w:val="1"/>
      <w:marLeft w:val="0"/>
      <w:marRight w:val="0"/>
      <w:marTop w:val="0"/>
      <w:marBottom w:val="0"/>
      <w:divBdr>
        <w:top w:val="none" w:sz="0" w:space="0" w:color="auto"/>
        <w:left w:val="none" w:sz="0" w:space="0" w:color="auto"/>
        <w:bottom w:val="none" w:sz="0" w:space="0" w:color="auto"/>
        <w:right w:val="none" w:sz="0" w:space="0" w:color="auto"/>
      </w:divBdr>
      <w:divsChild>
        <w:div w:id="771783191">
          <w:marLeft w:val="0"/>
          <w:marRight w:val="0"/>
          <w:marTop w:val="0"/>
          <w:marBottom w:val="0"/>
          <w:divBdr>
            <w:top w:val="none" w:sz="0" w:space="0" w:color="auto"/>
            <w:left w:val="none" w:sz="0" w:space="0" w:color="auto"/>
            <w:bottom w:val="none" w:sz="0" w:space="0" w:color="auto"/>
            <w:right w:val="none" w:sz="0" w:space="0" w:color="auto"/>
          </w:divBdr>
          <w:divsChild>
            <w:div w:id="1435663958">
              <w:marLeft w:val="0"/>
              <w:marRight w:val="0"/>
              <w:marTop w:val="0"/>
              <w:marBottom w:val="0"/>
              <w:divBdr>
                <w:top w:val="none" w:sz="0" w:space="0" w:color="auto"/>
                <w:left w:val="none" w:sz="0" w:space="0" w:color="auto"/>
                <w:bottom w:val="none" w:sz="0" w:space="0" w:color="auto"/>
                <w:right w:val="none" w:sz="0" w:space="0" w:color="auto"/>
              </w:divBdr>
              <w:divsChild>
                <w:div w:id="2126845394">
                  <w:marLeft w:val="0"/>
                  <w:marRight w:val="0"/>
                  <w:marTop w:val="0"/>
                  <w:marBottom w:val="0"/>
                  <w:divBdr>
                    <w:top w:val="none" w:sz="0" w:space="0" w:color="auto"/>
                    <w:left w:val="none" w:sz="0" w:space="0" w:color="auto"/>
                    <w:bottom w:val="none" w:sz="0" w:space="0" w:color="auto"/>
                    <w:right w:val="none" w:sz="0" w:space="0" w:color="auto"/>
                  </w:divBdr>
                </w:div>
                <w:div w:id="1358384432">
                  <w:marLeft w:val="0"/>
                  <w:marRight w:val="0"/>
                  <w:marTop w:val="0"/>
                  <w:marBottom w:val="0"/>
                  <w:divBdr>
                    <w:top w:val="none" w:sz="0" w:space="0" w:color="auto"/>
                    <w:left w:val="none" w:sz="0" w:space="0" w:color="auto"/>
                    <w:bottom w:val="none" w:sz="0" w:space="0" w:color="auto"/>
                    <w:right w:val="none" w:sz="0" w:space="0" w:color="auto"/>
                  </w:divBdr>
                  <w:divsChild>
                    <w:div w:id="722485399">
                      <w:marLeft w:val="0"/>
                      <w:marRight w:val="0"/>
                      <w:marTop w:val="0"/>
                      <w:marBottom w:val="0"/>
                      <w:divBdr>
                        <w:top w:val="none" w:sz="0" w:space="0" w:color="auto"/>
                        <w:left w:val="none" w:sz="0" w:space="0" w:color="auto"/>
                        <w:bottom w:val="none" w:sz="0" w:space="0" w:color="auto"/>
                        <w:right w:val="none" w:sz="0" w:space="0" w:color="auto"/>
                      </w:divBdr>
                    </w:div>
                    <w:div w:id="1840197716">
                      <w:marLeft w:val="0"/>
                      <w:marRight w:val="0"/>
                      <w:marTop w:val="0"/>
                      <w:marBottom w:val="0"/>
                      <w:divBdr>
                        <w:top w:val="none" w:sz="0" w:space="0" w:color="auto"/>
                        <w:left w:val="none" w:sz="0" w:space="0" w:color="auto"/>
                        <w:bottom w:val="none" w:sz="0" w:space="0" w:color="auto"/>
                        <w:right w:val="none" w:sz="0" w:space="0" w:color="auto"/>
                      </w:divBdr>
                    </w:div>
                    <w:div w:id="537864428">
                      <w:marLeft w:val="0"/>
                      <w:marRight w:val="0"/>
                      <w:marTop w:val="0"/>
                      <w:marBottom w:val="0"/>
                      <w:divBdr>
                        <w:top w:val="none" w:sz="0" w:space="0" w:color="auto"/>
                        <w:left w:val="none" w:sz="0" w:space="0" w:color="auto"/>
                        <w:bottom w:val="none" w:sz="0" w:space="0" w:color="auto"/>
                        <w:right w:val="none" w:sz="0" w:space="0" w:color="auto"/>
                      </w:divBdr>
                    </w:div>
                    <w:div w:id="179512754">
                      <w:marLeft w:val="0"/>
                      <w:marRight w:val="0"/>
                      <w:marTop w:val="0"/>
                      <w:marBottom w:val="0"/>
                      <w:divBdr>
                        <w:top w:val="none" w:sz="0" w:space="0" w:color="auto"/>
                        <w:left w:val="none" w:sz="0" w:space="0" w:color="auto"/>
                        <w:bottom w:val="none" w:sz="0" w:space="0" w:color="auto"/>
                        <w:right w:val="none" w:sz="0" w:space="0" w:color="auto"/>
                      </w:divBdr>
                    </w:div>
                    <w:div w:id="510148020">
                      <w:marLeft w:val="0"/>
                      <w:marRight w:val="0"/>
                      <w:marTop w:val="0"/>
                      <w:marBottom w:val="0"/>
                      <w:divBdr>
                        <w:top w:val="none" w:sz="0" w:space="0" w:color="auto"/>
                        <w:left w:val="none" w:sz="0" w:space="0" w:color="auto"/>
                        <w:bottom w:val="none" w:sz="0" w:space="0" w:color="auto"/>
                        <w:right w:val="none" w:sz="0" w:space="0" w:color="auto"/>
                      </w:divBdr>
                    </w:div>
                    <w:div w:id="13155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40630">
              <w:marLeft w:val="0"/>
              <w:marRight w:val="0"/>
              <w:marTop w:val="0"/>
              <w:marBottom w:val="0"/>
              <w:divBdr>
                <w:top w:val="none" w:sz="0" w:space="0" w:color="auto"/>
                <w:left w:val="none" w:sz="0" w:space="0" w:color="auto"/>
                <w:bottom w:val="none" w:sz="0" w:space="0" w:color="auto"/>
                <w:right w:val="none" w:sz="0" w:space="0" w:color="auto"/>
              </w:divBdr>
              <w:divsChild>
                <w:div w:id="1968923970">
                  <w:marLeft w:val="0"/>
                  <w:marRight w:val="0"/>
                  <w:marTop w:val="0"/>
                  <w:marBottom w:val="0"/>
                  <w:divBdr>
                    <w:top w:val="none" w:sz="0" w:space="0" w:color="auto"/>
                    <w:left w:val="none" w:sz="0" w:space="0" w:color="auto"/>
                    <w:bottom w:val="none" w:sz="0" w:space="0" w:color="auto"/>
                    <w:right w:val="none" w:sz="0" w:space="0" w:color="auto"/>
                  </w:divBdr>
                  <w:divsChild>
                    <w:div w:id="1431731460">
                      <w:marLeft w:val="0"/>
                      <w:marRight w:val="0"/>
                      <w:marTop w:val="0"/>
                      <w:marBottom w:val="0"/>
                      <w:divBdr>
                        <w:top w:val="none" w:sz="0" w:space="0" w:color="auto"/>
                        <w:left w:val="none" w:sz="0" w:space="0" w:color="auto"/>
                        <w:bottom w:val="none" w:sz="0" w:space="0" w:color="auto"/>
                        <w:right w:val="none" w:sz="0" w:space="0" w:color="auto"/>
                      </w:divBdr>
                    </w:div>
                    <w:div w:id="983001339">
                      <w:marLeft w:val="0"/>
                      <w:marRight w:val="0"/>
                      <w:marTop w:val="0"/>
                      <w:marBottom w:val="0"/>
                      <w:divBdr>
                        <w:top w:val="none" w:sz="0" w:space="0" w:color="auto"/>
                        <w:left w:val="none" w:sz="0" w:space="0" w:color="auto"/>
                        <w:bottom w:val="none" w:sz="0" w:space="0" w:color="auto"/>
                        <w:right w:val="none" w:sz="0" w:space="0" w:color="auto"/>
                      </w:divBdr>
                    </w:div>
                    <w:div w:id="492525458">
                      <w:marLeft w:val="0"/>
                      <w:marRight w:val="0"/>
                      <w:marTop w:val="0"/>
                      <w:marBottom w:val="0"/>
                      <w:divBdr>
                        <w:top w:val="none" w:sz="0" w:space="0" w:color="auto"/>
                        <w:left w:val="none" w:sz="0" w:space="0" w:color="auto"/>
                        <w:bottom w:val="none" w:sz="0" w:space="0" w:color="auto"/>
                        <w:right w:val="none" w:sz="0" w:space="0" w:color="auto"/>
                      </w:divBdr>
                    </w:div>
                    <w:div w:id="517503285">
                      <w:marLeft w:val="0"/>
                      <w:marRight w:val="0"/>
                      <w:marTop w:val="0"/>
                      <w:marBottom w:val="0"/>
                      <w:divBdr>
                        <w:top w:val="none" w:sz="0" w:space="0" w:color="auto"/>
                        <w:left w:val="none" w:sz="0" w:space="0" w:color="auto"/>
                        <w:bottom w:val="none" w:sz="0" w:space="0" w:color="auto"/>
                        <w:right w:val="none" w:sz="0" w:space="0" w:color="auto"/>
                      </w:divBdr>
                    </w:div>
                    <w:div w:id="492570761">
                      <w:marLeft w:val="0"/>
                      <w:marRight w:val="0"/>
                      <w:marTop w:val="0"/>
                      <w:marBottom w:val="0"/>
                      <w:divBdr>
                        <w:top w:val="none" w:sz="0" w:space="0" w:color="auto"/>
                        <w:left w:val="none" w:sz="0" w:space="0" w:color="auto"/>
                        <w:bottom w:val="none" w:sz="0" w:space="0" w:color="auto"/>
                        <w:right w:val="none" w:sz="0" w:space="0" w:color="auto"/>
                      </w:divBdr>
                    </w:div>
                    <w:div w:id="1957364283">
                      <w:marLeft w:val="0"/>
                      <w:marRight w:val="0"/>
                      <w:marTop w:val="0"/>
                      <w:marBottom w:val="0"/>
                      <w:divBdr>
                        <w:top w:val="none" w:sz="0" w:space="0" w:color="auto"/>
                        <w:left w:val="none" w:sz="0" w:space="0" w:color="auto"/>
                        <w:bottom w:val="none" w:sz="0" w:space="0" w:color="auto"/>
                        <w:right w:val="none" w:sz="0" w:space="0" w:color="auto"/>
                      </w:divBdr>
                    </w:div>
                    <w:div w:id="604731625">
                      <w:marLeft w:val="0"/>
                      <w:marRight w:val="0"/>
                      <w:marTop w:val="0"/>
                      <w:marBottom w:val="0"/>
                      <w:divBdr>
                        <w:top w:val="none" w:sz="0" w:space="0" w:color="auto"/>
                        <w:left w:val="none" w:sz="0" w:space="0" w:color="auto"/>
                        <w:bottom w:val="none" w:sz="0" w:space="0" w:color="auto"/>
                        <w:right w:val="none" w:sz="0" w:space="0" w:color="auto"/>
                      </w:divBdr>
                    </w:div>
                    <w:div w:id="578757503">
                      <w:marLeft w:val="0"/>
                      <w:marRight w:val="0"/>
                      <w:marTop w:val="0"/>
                      <w:marBottom w:val="0"/>
                      <w:divBdr>
                        <w:top w:val="none" w:sz="0" w:space="0" w:color="auto"/>
                        <w:left w:val="none" w:sz="0" w:space="0" w:color="auto"/>
                        <w:bottom w:val="none" w:sz="0" w:space="0" w:color="auto"/>
                        <w:right w:val="none" w:sz="0" w:space="0" w:color="auto"/>
                      </w:divBdr>
                    </w:div>
                    <w:div w:id="1684697314">
                      <w:marLeft w:val="0"/>
                      <w:marRight w:val="0"/>
                      <w:marTop w:val="0"/>
                      <w:marBottom w:val="0"/>
                      <w:divBdr>
                        <w:top w:val="none" w:sz="0" w:space="0" w:color="auto"/>
                        <w:left w:val="none" w:sz="0" w:space="0" w:color="auto"/>
                        <w:bottom w:val="none" w:sz="0" w:space="0" w:color="auto"/>
                        <w:right w:val="none" w:sz="0" w:space="0" w:color="auto"/>
                      </w:divBdr>
                    </w:div>
                    <w:div w:id="1123381330">
                      <w:marLeft w:val="0"/>
                      <w:marRight w:val="0"/>
                      <w:marTop w:val="0"/>
                      <w:marBottom w:val="0"/>
                      <w:divBdr>
                        <w:top w:val="none" w:sz="0" w:space="0" w:color="auto"/>
                        <w:left w:val="none" w:sz="0" w:space="0" w:color="auto"/>
                        <w:bottom w:val="none" w:sz="0" w:space="0" w:color="auto"/>
                        <w:right w:val="none" w:sz="0" w:space="0" w:color="auto"/>
                      </w:divBdr>
                    </w:div>
                    <w:div w:id="305356865">
                      <w:marLeft w:val="0"/>
                      <w:marRight w:val="0"/>
                      <w:marTop w:val="0"/>
                      <w:marBottom w:val="0"/>
                      <w:divBdr>
                        <w:top w:val="none" w:sz="0" w:space="0" w:color="auto"/>
                        <w:left w:val="none" w:sz="0" w:space="0" w:color="auto"/>
                        <w:bottom w:val="none" w:sz="0" w:space="0" w:color="auto"/>
                        <w:right w:val="none" w:sz="0" w:space="0" w:color="auto"/>
                      </w:divBdr>
                    </w:div>
                    <w:div w:id="944920747">
                      <w:marLeft w:val="0"/>
                      <w:marRight w:val="0"/>
                      <w:marTop w:val="0"/>
                      <w:marBottom w:val="0"/>
                      <w:divBdr>
                        <w:top w:val="none" w:sz="0" w:space="0" w:color="auto"/>
                        <w:left w:val="none" w:sz="0" w:space="0" w:color="auto"/>
                        <w:bottom w:val="none" w:sz="0" w:space="0" w:color="auto"/>
                        <w:right w:val="none" w:sz="0" w:space="0" w:color="auto"/>
                      </w:divBdr>
                    </w:div>
                    <w:div w:id="1098795245">
                      <w:marLeft w:val="0"/>
                      <w:marRight w:val="0"/>
                      <w:marTop w:val="0"/>
                      <w:marBottom w:val="0"/>
                      <w:divBdr>
                        <w:top w:val="none" w:sz="0" w:space="0" w:color="auto"/>
                        <w:left w:val="none" w:sz="0" w:space="0" w:color="auto"/>
                        <w:bottom w:val="none" w:sz="0" w:space="0" w:color="auto"/>
                        <w:right w:val="none" w:sz="0" w:space="0" w:color="auto"/>
                      </w:divBdr>
                    </w:div>
                    <w:div w:id="1109930427">
                      <w:marLeft w:val="0"/>
                      <w:marRight w:val="0"/>
                      <w:marTop w:val="0"/>
                      <w:marBottom w:val="0"/>
                      <w:divBdr>
                        <w:top w:val="none" w:sz="0" w:space="0" w:color="auto"/>
                        <w:left w:val="none" w:sz="0" w:space="0" w:color="auto"/>
                        <w:bottom w:val="none" w:sz="0" w:space="0" w:color="auto"/>
                        <w:right w:val="none" w:sz="0" w:space="0" w:color="auto"/>
                      </w:divBdr>
                    </w:div>
                    <w:div w:id="1654337121">
                      <w:marLeft w:val="0"/>
                      <w:marRight w:val="0"/>
                      <w:marTop w:val="0"/>
                      <w:marBottom w:val="0"/>
                      <w:divBdr>
                        <w:top w:val="none" w:sz="0" w:space="0" w:color="auto"/>
                        <w:left w:val="none" w:sz="0" w:space="0" w:color="auto"/>
                        <w:bottom w:val="none" w:sz="0" w:space="0" w:color="auto"/>
                        <w:right w:val="none" w:sz="0" w:space="0" w:color="auto"/>
                      </w:divBdr>
                    </w:div>
                    <w:div w:id="1499887918">
                      <w:marLeft w:val="0"/>
                      <w:marRight w:val="0"/>
                      <w:marTop w:val="0"/>
                      <w:marBottom w:val="0"/>
                      <w:divBdr>
                        <w:top w:val="none" w:sz="0" w:space="0" w:color="auto"/>
                        <w:left w:val="none" w:sz="0" w:space="0" w:color="auto"/>
                        <w:bottom w:val="none" w:sz="0" w:space="0" w:color="auto"/>
                        <w:right w:val="none" w:sz="0" w:space="0" w:color="auto"/>
                      </w:divBdr>
                    </w:div>
                    <w:div w:id="57290625">
                      <w:marLeft w:val="0"/>
                      <w:marRight w:val="0"/>
                      <w:marTop w:val="0"/>
                      <w:marBottom w:val="0"/>
                      <w:divBdr>
                        <w:top w:val="none" w:sz="0" w:space="0" w:color="auto"/>
                        <w:left w:val="none" w:sz="0" w:space="0" w:color="auto"/>
                        <w:bottom w:val="none" w:sz="0" w:space="0" w:color="auto"/>
                        <w:right w:val="none" w:sz="0" w:space="0" w:color="auto"/>
                      </w:divBdr>
                    </w:div>
                    <w:div w:id="920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35270">
              <w:marLeft w:val="0"/>
              <w:marRight w:val="0"/>
              <w:marTop w:val="0"/>
              <w:marBottom w:val="0"/>
              <w:divBdr>
                <w:top w:val="none" w:sz="0" w:space="0" w:color="auto"/>
                <w:left w:val="none" w:sz="0" w:space="0" w:color="auto"/>
                <w:bottom w:val="none" w:sz="0" w:space="0" w:color="auto"/>
                <w:right w:val="none" w:sz="0" w:space="0" w:color="auto"/>
              </w:divBdr>
              <w:divsChild>
                <w:div w:id="976376853">
                  <w:marLeft w:val="0"/>
                  <w:marRight w:val="0"/>
                  <w:marTop w:val="0"/>
                  <w:marBottom w:val="0"/>
                  <w:divBdr>
                    <w:top w:val="none" w:sz="0" w:space="0" w:color="auto"/>
                    <w:left w:val="none" w:sz="0" w:space="0" w:color="auto"/>
                    <w:bottom w:val="none" w:sz="0" w:space="0" w:color="auto"/>
                    <w:right w:val="none" w:sz="0" w:space="0" w:color="auto"/>
                  </w:divBdr>
                  <w:divsChild>
                    <w:div w:id="770704252">
                      <w:marLeft w:val="0"/>
                      <w:marRight w:val="0"/>
                      <w:marTop w:val="0"/>
                      <w:marBottom w:val="0"/>
                      <w:divBdr>
                        <w:top w:val="none" w:sz="0" w:space="0" w:color="auto"/>
                        <w:left w:val="none" w:sz="0" w:space="0" w:color="auto"/>
                        <w:bottom w:val="none" w:sz="0" w:space="0" w:color="auto"/>
                        <w:right w:val="none" w:sz="0" w:space="0" w:color="auto"/>
                      </w:divBdr>
                      <w:divsChild>
                        <w:div w:id="1997149184">
                          <w:marLeft w:val="0"/>
                          <w:marRight w:val="0"/>
                          <w:marTop w:val="0"/>
                          <w:marBottom w:val="0"/>
                          <w:divBdr>
                            <w:top w:val="none" w:sz="0" w:space="0" w:color="auto"/>
                            <w:left w:val="none" w:sz="0" w:space="0" w:color="auto"/>
                            <w:bottom w:val="none" w:sz="0" w:space="0" w:color="auto"/>
                            <w:right w:val="none" w:sz="0" w:space="0" w:color="auto"/>
                          </w:divBdr>
                        </w:div>
                        <w:div w:id="11031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ale.cengage.com/" TargetMode="External"/><Relationship Id="rId6" Type="http://schemas.openxmlformats.org/officeDocument/2006/relationships/image" Target="media/image1.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2229</Words>
  <Characters>12706</Characters>
  <Application>Microsoft Macintosh Word</Application>
  <DocSecurity>0</DocSecurity>
  <Lines>105</Lines>
  <Paragraphs>29</Paragraphs>
  <ScaleCrop>false</ScaleCrop>
  <Company/>
  <LinksUpToDate>false</LinksUpToDate>
  <CharactersWithSpaces>14906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Pesano</dc:creator>
  <cp:keywords/>
  <dc:description/>
  <cp:lastModifiedBy>Julie  Pesano</cp:lastModifiedBy>
  <cp:revision>1</cp:revision>
  <dcterms:created xsi:type="dcterms:W3CDTF">2015-02-26T01:47:00Z</dcterms:created>
  <dcterms:modified xsi:type="dcterms:W3CDTF">2015-02-26T01:48:00Z</dcterms:modified>
</cp:coreProperties>
</file>