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35" w:rsidRPr="001F78EF" w:rsidRDefault="00FF7B51" w:rsidP="002D623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F78EF">
        <w:rPr>
          <w:rFonts w:ascii="Times New Roman" w:hAnsi="Times New Roman" w:cs="Times New Roman"/>
          <w:b/>
          <w:u w:val="single"/>
        </w:rPr>
        <w:t>Degrees and Certificates:</w:t>
      </w:r>
    </w:p>
    <w:p w:rsidR="001C57F7" w:rsidRDefault="00C87E29" w:rsidP="00C87E2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 xml:space="preserve">Our Division includes viable programs that fulfill the needs of many types of students.  The needs range from transferring to a 4-year institution to the retraining of job skills. </w:t>
      </w:r>
      <w:r w:rsidR="002D6235" w:rsidRPr="001F78EF">
        <w:rPr>
          <w:rFonts w:ascii="Times New Roman" w:hAnsi="Times New Roman" w:cs="Times New Roman"/>
        </w:rPr>
        <w:t>As shown in Table 1.0, i</w:t>
      </w:r>
      <w:r w:rsidRPr="001F78EF">
        <w:rPr>
          <w:rFonts w:ascii="Times New Roman" w:hAnsi="Times New Roman" w:cs="Times New Roman"/>
        </w:rPr>
        <w:t xml:space="preserve">n the Academic year 2013-2014, the Division of Business, Computer Science, and </w:t>
      </w:r>
      <w:r w:rsidR="00FA4405" w:rsidRPr="001F78EF">
        <w:rPr>
          <w:rFonts w:ascii="Times New Roman" w:hAnsi="Times New Roman" w:cs="Times New Roman"/>
        </w:rPr>
        <w:t>Applied Technologies awarded 305</w:t>
      </w:r>
      <w:r w:rsidRPr="001F78EF">
        <w:rPr>
          <w:rFonts w:ascii="Times New Roman" w:hAnsi="Times New Roman" w:cs="Times New Roman"/>
        </w:rPr>
        <w:t xml:space="preserve"> Associate Degrees (1</w:t>
      </w:r>
      <w:r w:rsidR="001C57F7" w:rsidRPr="001F78EF">
        <w:rPr>
          <w:rFonts w:ascii="Times New Roman" w:hAnsi="Times New Roman" w:cs="Times New Roman"/>
        </w:rPr>
        <w:t>7.9</w:t>
      </w:r>
      <w:r w:rsidRPr="001F78EF">
        <w:rPr>
          <w:rFonts w:ascii="Times New Roman" w:hAnsi="Times New Roman" w:cs="Times New Roman"/>
        </w:rPr>
        <w:t xml:space="preserve">% of the degrees awarded by the College) and </w:t>
      </w:r>
      <w:r w:rsidR="00FA4405" w:rsidRPr="001F78EF">
        <w:rPr>
          <w:rFonts w:ascii="Times New Roman" w:hAnsi="Times New Roman" w:cs="Times New Roman"/>
        </w:rPr>
        <w:t>324</w:t>
      </w:r>
      <w:r w:rsidRPr="001F78EF">
        <w:rPr>
          <w:rFonts w:ascii="Times New Roman" w:hAnsi="Times New Roman" w:cs="Times New Roman"/>
        </w:rPr>
        <w:t xml:space="preserve"> Certificates (5</w:t>
      </w:r>
      <w:r w:rsidR="001C57F7" w:rsidRPr="001F78EF">
        <w:rPr>
          <w:rFonts w:ascii="Times New Roman" w:hAnsi="Times New Roman" w:cs="Times New Roman"/>
        </w:rPr>
        <w:t>5.5</w:t>
      </w:r>
      <w:r w:rsidRPr="001F78EF">
        <w:rPr>
          <w:rFonts w:ascii="Times New Roman" w:hAnsi="Times New Roman" w:cs="Times New Roman"/>
        </w:rPr>
        <w:t>% of the</w:t>
      </w:r>
      <w:r w:rsidR="00D3045F" w:rsidRPr="001F78EF">
        <w:rPr>
          <w:rFonts w:ascii="Times New Roman" w:hAnsi="Times New Roman" w:cs="Times New Roman"/>
        </w:rPr>
        <w:t xml:space="preserve"> overall number of</w:t>
      </w:r>
      <w:r w:rsidRPr="001F78EF">
        <w:rPr>
          <w:rFonts w:ascii="Times New Roman" w:hAnsi="Times New Roman" w:cs="Times New Roman"/>
        </w:rPr>
        <w:t xml:space="preserve"> certif</w:t>
      </w:r>
      <w:r w:rsidR="00FF7B51" w:rsidRPr="001F78EF">
        <w:rPr>
          <w:rFonts w:ascii="Times New Roman" w:hAnsi="Times New Roman" w:cs="Times New Roman"/>
        </w:rPr>
        <w:t xml:space="preserve">icates awarded by the College).  As </w:t>
      </w:r>
      <w:r w:rsidR="00E56742">
        <w:rPr>
          <w:rFonts w:ascii="Times New Roman" w:hAnsi="Times New Roman" w:cs="Times New Roman"/>
        </w:rPr>
        <w:t>illustrated</w:t>
      </w:r>
      <w:r w:rsidR="00FF7B51" w:rsidRPr="001F78EF">
        <w:rPr>
          <w:rFonts w:ascii="Times New Roman" w:hAnsi="Times New Roman" w:cs="Times New Roman"/>
        </w:rPr>
        <w:t>, there is a significant increase in the number of degrees and certificate</w:t>
      </w:r>
      <w:r w:rsidR="00A5346D">
        <w:rPr>
          <w:rFonts w:ascii="Times New Roman" w:hAnsi="Times New Roman" w:cs="Times New Roman"/>
        </w:rPr>
        <w:t>s</w:t>
      </w:r>
      <w:r w:rsidR="00FF7B51" w:rsidRPr="001F78EF">
        <w:rPr>
          <w:rFonts w:ascii="Times New Roman" w:hAnsi="Times New Roman" w:cs="Times New Roman"/>
        </w:rPr>
        <w:t xml:space="preserve"> awarded in 2014-2015 compared to 2013-2014.</w:t>
      </w:r>
      <w:r w:rsidR="00D3045F" w:rsidRPr="001F78EF">
        <w:rPr>
          <w:rFonts w:ascii="Times New Roman" w:hAnsi="Times New Roman" w:cs="Times New Roman"/>
        </w:rPr>
        <w:t xml:space="preserve"> This number could increase if there </w:t>
      </w:r>
      <w:r w:rsidR="00A5346D">
        <w:rPr>
          <w:rFonts w:ascii="Times New Roman" w:hAnsi="Times New Roman" w:cs="Times New Roman"/>
        </w:rPr>
        <w:t>were</w:t>
      </w:r>
      <w:r w:rsidR="00D3045F" w:rsidRPr="001F78EF">
        <w:rPr>
          <w:rFonts w:ascii="Times New Roman" w:hAnsi="Times New Roman" w:cs="Times New Roman"/>
        </w:rPr>
        <w:t xml:space="preserve"> a system to </w:t>
      </w:r>
      <w:r w:rsidR="00E56742">
        <w:rPr>
          <w:rFonts w:ascii="Times New Roman" w:hAnsi="Times New Roman" w:cs="Times New Roman"/>
        </w:rPr>
        <w:t>alert students when a requirement for a certificate is met</w:t>
      </w:r>
      <w:r w:rsidR="00D3045F" w:rsidRPr="001F78EF">
        <w:rPr>
          <w:rFonts w:ascii="Times New Roman" w:hAnsi="Times New Roman" w:cs="Times New Roman"/>
        </w:rPr>
        <w:t xml:space="preserve">.  </w:t>
      </w:r>
      <w:r w:rsidR="00E73E3A">
        <w:rPr>
          <w:rFonts w:ascii="Times New Roman" w:hAnsi="Times New Roman" w:cs="Times New Roman"/>
        </w:rPr>
        <w:t>For Example, i</w:t>
      </w:r>
      <w:r w:rsidR="00E73E3A" w:rsidRPr="001F78EF">
        <w:rPr>
          <w:rFonts w:ascii="Times New Roman" w:hAnsi="Times New Roman" w:cs="Times New Roman"/>
        </w:rPr>
        <w:t xml:space="preserve">n </w:t>
      </w:r>
      <w:r w:rsidR="00D3045F" w:rsidRPr="001F78EF">
        <w:rPr>
          <w:rFonts w:ascii="Times New Roman" w:hAnsi="Times New Roman" w:cs="Times New Roman"/>
        </w:rPr>
        <w:t>the case of the Business graduates, each graduate should receive a certificate</w:t>
      </w:r>
      <w:r w:rsidR="00DD54CE">
        <w:rPr>
          <w:rFonts w:ascii="Times New Roman" w:hAnsi="Times New Roman" w:cs="Times New Roman"/>
        </w:rPr>
        <w:t xml:space="preserve"> in addition to their</w:t>
      </w:r>
      <w:r w:rsidR="00E73E3A">
        <w:rPr>
          <w:rFonts w:ascii="Times New Roman" w:hAnsi="Times New Roman" w:cs="Times New Roman"/>
        </w:rPr>
        <w:t xml:space="preserve"> associate </w:t>
      </w:r>
      <w:r w:rsidR="00DD54CE">
        <w:rPr>
          <w:rFonts w:ascii="Times New Roman" w:hAnsi="Times New Roman" w:cs="Times New Roman"/>
        </w:rPr>
        <w:t>degree</w:t>
      </w:r>
      <w:r w:rsidR="00D3045F" w:rsidRPr="001F78EF">
        <w:rPr>
          <w:rFonts w:ascii="Times New Roman" w:hAnsi="Times New Roman" w:cs="Times New Roman"/>
        </w:rPr>
        <w:t xml:space="preserve">, but this has been overlooked and </w:t>
      </w:r>
      <w:r w:rsidR="00711E85" w:rsidRPr="001F78EF">
        <w:rPr>
          <w:rFonts w:ascii="Times New Roman" w:hAnsi="Times New Roman" w:cs="Times New Roman"/>
        </w:rPr>
        <w:t>requests to put a system in place have</w:t>
      </w:r>
      <w:r w:rsidR="00D3045F" w:rsidRPr="001F78EF">
        <w:rPr>
          <w:rFonts w:ascii="Times New Roman" w:hAnsi="Times New Roman" w:cs="Times New Roman"/>
        </w:rPr>
        <w:t xml:space="preserve"> not been given priority.</w:t>
      </w:r>
    </w:p>
    <w:p w:rsidR="00E73E3A" w:rsidRPr="00E73E3A" w:rsidRDefault="00E73E3A" w:rsidP="00C87E29">
      <w:pPr>
        <w:spacing w:after="0" w:line="36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2140"/>
        <w:gridCol w:w="1720"/>
        <w:gridCol w:w="1580"/>
        <w:gridCol w:w="1600"/>
        <w:gridCol w:w="1680"/>
      </w:tblGrid>
      <w:tr w:rsidR="002D6235" w:rsidRPr="001F78EF" w:rsidTr="002D623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7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711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4-2015</w:t>
            </w:r>
          </w:p>
        </w:tc>
      </w:tr>
      <w:tr w:rsidR="002D6235" w:rsidRPr="001F78EF" w:rsidTr="002D6235">
        <w:trPr>
          <w:trHeight w:val="5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Applied Technologies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Business and Computer Science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Applied Technologies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Business and Computer Science</w:t>
            </w:r>
          </w:p>
        </w:tc>
      </w:tr>
      <w:tr w:rsidR="002D6235" w:rsidRPr="001F78EF" w:rsidTr="001F78EF">
        <w:trPr>
          <w:trHeight w:val="2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Associate Degrees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2D6235" w:rsidRPr="001F78EF" w:rsidTr="001F78EF">
        <w:trPr>
          <w:trHeight w:val="2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49658C" w:rsidP="002D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certificates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2D6235" w:rsidRPr="001F78EF" w:rsidTr="001F78EF">
        <w:trPr>
          <w:trHeight w:val="23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</w:t>
            </w:r>
          </w:p>
        </w:tc>
      </w:tr>
      <w:tr w:rsidR="002D6235" w:rsidRPr="001F78EF" w:rsidTr="001F78EF">
        <w:trPr>
          <w:trHeight w:val="242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Difference</w:t>
            </w:r>
            <w:r w:rsidR="00CB1CC7"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from 2012-2013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D6235" w:rsidRPr="001F78EF" w:rsidTr="001F78EF">
        <w:trPr>
          <w:trHeight w:val="260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6235" w:rsidRPr="001F78EF" w:rsidRDefault="002D6235" w:rsidP="002D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</w:tbl>
    <w:p w:rsidR="00C87E29" w:rsidRPr="001F78EF" w:rsidRDefault="002D6235" w:rsidP="00E4643B">
      <w:pPr>
        <w:spacing w:before="120" w:after="120"/>
        <w:jc w:val="center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  <w:i/>
        </w:rPr>
        <w:t>Table 1.0:</w:t>
      </w:r>
      <w:r w:rsidRPr="001F78EF">
        <w:rPr>
          <w:rFonts w:ascii="Times New Roman" w:hAnsi="Times New Roman" w:cs="Times New Roman"/>
        </w:rPr>
        <w:t xml:space="preserve"> Degrees and Certificates awarded by the Division of Business, Computer Sc</w:t>
      </w:r>
      <w:r w:rsidR="00CB1CC7" w:rsidRPr="001F78EF">
        <w:rPr>
          <w:rFonts w:ascii="Times New Roman" w:hAnsi="Times New Roman" w:cs="Times New Roman"/>
        </w:rPr>
        <w:t>ience, and Applied Technologies (</w:t>
      </w:r>
      <w:hyperlink r:id="rId8" w:history="1">
        <w:r w:rsidR="00CB1CC7" w:rsidRPr="001F78EF">
          <w:rPr>
            <w:rStyle w:val="Hyperlink"/>
            <w:rFonts w:ascii="Times New Roman" w:hAnsi="Times New Roman" w:cs="Times New Roman"/>
          </w:rPr>
          <w:t>http://www.deanza.edu/ir/pdf/Awards%20Summary.pdf</w:t>
        </w:r>
      </w:hyperlink>
      <w:r w:rsidR="00CB1CC7" w:rsidRPr="001F78EF">
        <w:rPr>
          <w:rFonts w:ascii="Times New Roman" w:hAnsi="Times New Roman" w:cs="Times New Roman"/>
        </w:rPr>
        <w:t xml:space="preserve">) </w:t>
      </w:r>
    </w:p>
    <w:p w:rsidR="00842FDA" w:rsidRPr="001F78EF" w:rsidRDefault="00626952" w:rsidP="005A4866">
      <w:pPr>
        <w:rPr>
          <w:rFonts w:ascii="Times New Roman" w:hAnsi="Times New Roman" w:cs="Times New Roman"/>
          <w:b/>
          <w:u w:val="single"/>
        </w:rPr>
      </w:pPr>
      <w:r w:rsidRPr="001F78EF">
        <w:rPr>
          <w:rFonts w:ascii="Times New Roman" w:hAnsi="Times New Roman" w:cs="Times New Roman"/>
          <w:b/>
          <w:u w:val="single"/>
        </w:rPr>
        <w:t>Enrollment trend:</w:t>
      </w:r>
    </w:p>
    <w:p w:rsidR="00B02357" w:rsidRPr="001F78EF" w:rsidRDefault="00B02357" w:rsidP="0049658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1F78EF">
        <w:rPr>
          <w:rFonts w:ascii="Times New Roman" w:hAnsi="Times New Roman" w:cs="Times New Roman"/>
          <w:b/>
        </w:rPr>
        <w:t>Accounting, Business, CDI, Computer Science and Real Estate:</w:t>
      </w:r>
    </w:p>
    <w:p w:rsidR="001F78EF" w:rsidRDefault="00D44CAE" w:rsidP="00E56742">
      <w:pPr>
        <w:spacing w:after="0" w:line="360" w:lineRule="auto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ab/>
        <w:t xml:space="preserve">As shown in Table </w:t>
      </w:r>
      <w:r w:rsidR="00CB1CC7" w:rsidRPr="001F78EF">
        <w:rPr>
          <w:rFonts w:ascii="Times New Roman" w:hAnsi="Times New Roman" w:cs="Times New Roman"/>
        </w:rPr>
        <w:t>2</w:t>
      </w:r>
      <w:r w:rsidRPr="001F78EF">
        <w:rPr>
          <w:rFonts w:ascii="Times New Roman" w:hAnsi="Times New Roman" w:cs="Times New Roman"/>
        </w:rPr>
        <w:t xml:space="preserve">.0, the division enrollment has shown a </w:t>
      </w:r>
      <w:r w:rsidR="00356892" w:rsidRPr="001F78EF">
        <w:rPr>
          <w:rFonts w:ascii="Times New Roman" w:hAnsi="Times New Roman" w:cs="Times New Roman"/>
        </w:rPr>
        <w:t xml:space="preserve">7.61% increase from 2013-2014.  Overall, the division enrollment has been on the rise even though the termination of the CAOS program has </w:t>
      </w:r>
      <w:proofErr w:type="gramStart"/>
      <w:r w:rsidR="00356892" w:rsidRPr="001F78EF">
        <w:rPr>
          <w:rFonts w:ascii="Times New Roman" w:hAnsi="Times New Roman" w:cs="Times New Roman"/>
        </w:rPr>
        <w:t>resulted</w:t>
      </w:r>
      <w:proofErr w:type="gramEnd"/>
      <w:r w:rsidR="00356892" w:rsidRPr="001F78EF">
        <w:rPr>
          <w:rFonts w:ascii="Times New Roman" w:hAnsi="Times New Roman" w:cs="Times New Roman"/>
        </w:rPr>
        <w:t xml:space="preserve"> in the loss of several thousand enrollments as shown in the difference between the academic year 2012-2013 and 2013-2014.  The impact of downsizing the Computer </w:t>
      </w:r>
      <w:r w:rsidR="00643922" w:rsidRPr="001F78EF">
        <w:rPr>
          <w:rFonts w:ascii="Times New Roman" w:hAnsi="Times New Roman" w:cs="Times New Roman"/>
        </w:rPr>
        <w:t>Aided Design and Digital Imagining (CDI) had some impact on the enrollment.  This program has now</w:t>
      </w:r>
      <w:r w:rsidR="00E56742">
        <w:rPr>
          <w:rFonts w:ascii="Times New Roman" w:hAnsi="Times New Roman" w:cs="Times New Roman"/>
        </w:rPr>
        <w:t xml:space="preserve"> been </w:t>
      </w:r>
      <w:r w:rsidR="00643922" w:rsidRPr="001F78EF">
        <w:rPr>
          <w:rFonts w:ascii="Times New Roman" w:hAnsi="Times New Roman" w:cs="Times New Roman"/>
        </w:rPr>
        <w:t>merged with the Manufacturing program forming the Design and Manufacturing Technologies program</w:t>
      </w:r>
      <w:r w:rsidR="00B367AF" w:rsidRPr="001F78EF">
        <w:rPr>
          <w:rFonts w:ascii="Times New Roman" w:hAnsi="Times New Roman" w:cs="Times New Roman"/>
        </w:rPr>
        <w:t xml:space="preserve"> (DMT).  </w:t>
      </w:r>
      <w:r w:rsidR="006900EF" w:rsidRPr="001F78EF">
        <w:rPr>
          <w:rFonts w:ascii="Times New Roman" w:hAnsi="Times New Roman" w:cs="Times New Roman"/>
        </w:rPr>
        <w:t xml:space="preserve">The productivity </w:t>
      </w:r>
      <w:r w:rsidR="0094140E" w:rsidRPr="001F78EF">
        <w:rPr>
          <w:rFonts w:ascii="Times New Roman" w:hAnsi="Times New Roman" w:cs="Times New Roman"/>
        </w:rPr>
        <w:t xml:space="preserve">is </w:t>
      </w:r>
      <w:r w:rsidR="006900EF" w:rsidRPr="001F78EF">
        <w:rPr>
          <w:rFonts w:ascii="Times New Roman" w:hAnsi="Times New Roman" w:cs="Times New Roman"/>
        </w:rPr>
        <w:t xml:space="preserve">at </w:t>
      </w:r>
      <w:proofErr w:type="gramStart"/>
      <w:r w:rsidR="006900EF" w:rsidRPr="001F78EF">
        <w:rPr>
          <w:rFonts w:ascii="Times New Roman" w:hAnsi="Times New Roman" w:cs="Times New Roman"/>
        </w:rPr>
        <w:t>648 which</w:t>
      </w:r>
      <w:proofErr w:type="gramEnd"/>
      <w:r w:rsidR="006900EF" w:rsidRPr="001F78EF">
        <w:rPr>
          <w:rFonts w:ascii="Times New Roman" w:hAnsi="Times New Roman" w:cs="Times New Roman"/>
        </w:rPr>
        <w:t xml:space="preserve"> is way above the college average.  The average number of students per .111 of load is </w:t>
      </w:r>
      <w:r w:rsidR="0094140E" w:rsidRPr="001F78EF">
        <w:rPr>
          <w:rFonts w:ascii="Times New Roman" w:hAnsi="Times New Roman" w:cs="Times New Roman"/>
        </w:rPr>
        <w:t>43.</w:t>
      </w:r>
    </w:p>
    <w:p w:rsidR="00E73E3A" w:rsidRDefault="00E73E3A" w:rsidP="00E56742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310" w:type="dxa"/>
        <w:jc w:val="center"/>
        <w:tblInd w:w="93" w:type="dxa"/>
        <w:tblLook w:val="04A0" w:firstRow="1" w:lastRow="0" w:firstColumn="1" w:lastColumn="0" w:noHBand="0" w:noVBand="1"/>
      </w:tblPr>
      <w:tblGrid>
        <w:gridCol w:w="1390"/>
        <w:gridCol w:w="1620"/>
        <w:gridCol w:w="1620"/>
        <w:gridCol w:w="1620"/>
        <w:gridCol w:w="1440"/>
        <w:gridCol w:w="1620"/>
      </w:tblGrid>
      <w:tr w:rsidR="00983932" w:rsidRPr="001F78EF" w:rsidTr="00E56742">
        <w:trPr>
          <w:trHeight w:val="332"/>
          <w:jc w:val="center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2014-2015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 Year Diff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 Year % Diff</w:t>
            </w:r>
          </w:p>
        </w:tc>
      </w:tr>
      <w:tr w:rsidR="00983932" w:rsidRPr="001F78EF" w:rsidTr="00E56742">
        <w:trPr>
          <w:trHeight w:val="23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Enrollment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21,002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18,868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20,304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1,436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7.61%</w:t>
            </w:r>
          </w:p>
        </w:tc>
      </w:tr>
      <w:tr w:rsidR="00983932" w:rsidRPr="001F78EF" w:rsidTr="00E56742">
        <w:trPr>
          <w:trHeight w:val="242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105,577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95,268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102,663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7,395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7.76%</w:t>
            </w:r>
          </w:p>
        </w:tc>
      </w:tr>
      <w:tr w:rsidR="00983932" w:rsidRPr="001F78EF" w:rsidTr="00E56742">
        <w:trPr>
          <w:trHeight w:val="269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Productivity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83932" w:rsidRPr="001F78EF" w:rsidRDefault="00983932" w:rsidP="009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1.09%</w:t>
            </w:r>
          </w:p>
        </w:tc>
      </w:tr>
    </w:tbl>
    <w:p w:rsidR="00B41D04" w:rsidRPr="001F78EF" w:rsidRDefault="00CB1CC7" w:rsidP="00E4643B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  <w:i/>
        </w:rPr>
        <w:t>Table 2.0:</w:t>
      </w:r>
      <w:r w:rsidRPr="001F78EF">
        <w:rPr>
          <w:rFonts w:ascii="Times New Roman" w:hAnsi="Times New Roman" w:cs="Times New Roman"/>
        </w:rPr>
        <w:t xml:space="preserve"> </w:t>
      </w:r>
      <w:r w:rsidR="00B02357" w:rsidRPr="001F78EF">
        <w:rPr>
          <w:rFonts w:ascii="Times New Roman" w:hAnsi="Times New Roman" w:cs="Times New Roman"/>
        </w:rPr>
        <w:t xml:space="preserve">Accounting, </w:t>
      </w:r>
      <w:r w:rsidRPr="001F78EF">
        <w:rPr>
          <w:rFonts w:ascii="Times New Roman" w:hAnsi="Times New Roman" w:cs="Times New Roman"/>
        </w:rPr>
        <w:t>Business, Computer Science</w:t>
      </w:r>
      <w:r w:rsidR="00B02357" w:rsidRPr="001F78EF">
        <w:rPr>
          <w:rFonts w:ascii="Times New Roman" w:hAnsi="Times New Roman" w:cs="Times New Roman"/>
        </w:rPr>
        <w:t>, and Real Estate.</w:t>
      </w:r>
      <w:r w:rsidRPr="001F78EF">
        <w:rPr>
          <w:rFonts w:ascii="Times New Roman" w:hAnsi="Times New Roman" w:cs="Times New Roman"/>
        </w:rPr>
        <w:t xml:space="preserve"> </w:t>
      </w:r>
    </w:p>
    <w:p w:rsidR="00E73E3A" w:rsidRDefault="00595655" w:rsidP="001F7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>(</w:t>
      </w:r>
      <w:hyperlink r:id="rId9" w:history="1">
        <w:r w:rsidRPr="001F78EF">
          <w:rPr>
            <w:rStyle w:val="Hyperlink"/>
            <w:rFonts w:ascii="Times New Roman" w:hAnsi="Times New Roman" w:cs="Times New Roman"/>
          </w:rPr>
          <w:t>http://www.deanza.edu/ir/program-review_2013-14/CB_Div.pdf</w:t>
        </w:r>
      </w:hyperlink>
      <w:r w:rsidR="001F78EF">
        <w:rPr>
          <w:rFonts w:ascii="Times New Roman" w:hAnsi="Times New Roman" w:cs="Times New Roman"/>
        </w:rPr>
        <w:t>)</w:t>
      </w:r>
    </w:p>
    <w:p w:rsidR="0094140E" w:rsidRPr="001F78EF" w:rsidRDefault="0094140E" w:rsidP="0049658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1F78EF">
        <w:rPr>
          <w:rFonts w:ascii="Times New Roman" w:hAnsi="Times New Roman" w:cs="Times New Roman"/>
          <w:b/>
        </w:rPr>
        <w:lastRenderedPageBreak/>
        <w:t>Automotive Technologies and Design and Manufacturing Technologies:</w:t>
      </w:r>
    </w:p>
    <w:p w:rsidR="0094140E" w:rsidRPr="001F78EF" w:rsidRDefault="00CC00B7" w:rsidP="006900EF">
      <w:pPr>
        <w:spacing w:after="0" w:line="360" w:lineRule="auto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ab/>
      </w:r>
      <w:r w:rsidR="0049658C" w:rsidRPr="001F78EF">
        <w:rPr>
          <w:rFonts w:ascii="Times New Roman" w:hAnsi="Times New Roman" w:cs="Times New Roman"/>
        </w:rPr>
        <w:t xml:space="preserve">As shown in Table 3.0, the </w:t>
      </w:r>
      <w:r w:rsidRPr="001F78EF">
        <w:rPr>
          <w:rFonts w:ascii="Times New Roman" w:hAnsi="Times New Roman" w:cs="Times New Roman"/>
        </w:rPr>
        <w:t>Applied Technology</w:t>
      </w:r>
      <w:r w:rsidR="0049658C" w:rsidRPr="001F78EF">
        <w:rPr>
          <w:rFonts w:ascii="Times New Roman" w:hAnsi="Times New Roman" w:cs="Times New Roman"/>
        </w:rPr>
        <w:t xml:space="preserve"> Division has a</w:t>
      </w:r>
      <w:r w:rsidRPr="001F78EF">
        <w:rPr>
          <w:rFonts w:ascii="Times New Roman" w:hAnsi="Times New Roman" w:cs="Times New Roman"/>
        </w:rPr>
        <w:t xml:space="preserve"> 1.73</w:t>
      </w:r>
      <w:r w:rsidR="00D3045F" w:rsidRPr="001F78EF">
        <w:rPr>
          <w:rFonts w:ascii="Times New Roman" w:hAnsi="Times New Roman" w:cs="Times New Roman"/>
        </w:rPr>
        <w:t>%</w:t>
      </w:r>
      <w:r w:rsidRPr="001F78EF">
        <w:rPr>
          <w:rFonts w:ascii="Times New Roman" w:hAnsi="Times New Roman" w:cs="Times New Roman"/>
        </w:rPr>
        <w:t xml:space="preserve"> drop in enrollment as well </w:t>
      </w:r>
      <w:r w:rsidR="00A5346D">
        <w:rPr>
          <w:rFonts w:ascii="Times New Roman" w:hAnsi="Times New Roman" w:cs="Times New Roman"/>
        </w:rPr>
        <w:t>a</w:t>
      </w:r>
      <w:r w:rsidRPr="001F78EF">
        <w:rPr>
          <w:rFonts w:ascii="Times New Roman" w:hAnsi="Times New Roman" w:cs="Times New Roman"/>
        </w:rPr>
        <w:t>s a 3.78% drop i</w:t>
      </w:r>
      <w:r w:rsidR="00D3045F" w:rsidRPr="001F78EF">
        <w:rPr>
          <w:rFonts w:ascii="Times New Roman" w:hAnsi="Times New Roman" w:cs="Times New Roman"/>
        </w:rPr>
        <w:t>n</w:t>
      </w:r>
      <w:r w:rsidRPr="001F78EF">
        <w:rPr>
          <w:rFonts w:ascii="Times New Roman" w:hAnsi="Times New Roman" w:cs="Times New Roman"/>
        </w:rPr>
        <w:t xml:space="preserve"> productivity.  This may have been the result of:</w:t>
      </w:r>
    </w:p>
    <w:p w:rsidR="00CC00B7" w:rsidRPr="001F78EF" w:rsidRDefault="00F67EF3" w:rsidP="00CC00B7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>High demand in the job market.  Employers are pulling students out of the programs.</w:t>
      </w:r>
    </w:p>
    <w:p w:rsidR="00CC00B7" w:rsidRPr="001F78EF" w:rsidRDefault="00CC00B7" w:rsidP="00CC00B7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 xml:space="preserve">In the case of </w:t>
      </w:r>
      <w:r w:rsidR="0045483F">
        <w:rPr>
          <w:rFonts w:ascii="Times New Roman" w:hAnsi="Times New Roman" w:cs="Times New Roman"/>
        </w:rPr>
        <w:t>M</w:t>
      </w:r>
      <w:r w:rsidRPr="001F78EF">
        <w:rPr>
          <w:rFonts w:ascii="Times New Roman" w:hAnsi="Times New Roman" w:cs="Times New Roman"/>
        </w:rPr>
        <w:t>anufacturing, the loss of</w:t>
      </w:r>
      <w:r w:rsidR="00F2510B" w:rsidRPr="001F78EF">
        <w:rPr>
          <w:rFonts w:ascii="Times New Roman" w:hAnsi="Times New Roman" w:cs="Times New Roman"/>
        </w:rPr>
        <w:t xml:space="preserve"> </w:t>
      </w:r>
      <w:r w:rsidR="002652DB">
        <w:rPr>
          <w:rFonts w:ascii="Times New Roman" w:hAnsi="Times New Roman" w:cs="Times New Roman"/>
        </w:rPr>
        <w:t xml:space="preserve">one </w:t>
      </w:r>
      <w:r w:rsidR="00F2510B" w:rsidRPr="001F78EF">
        <w:rPr>
          <w:rFonts w:ascii="Times New Roman" w:hAnsi="Times New Roman" w:cs="Times New Roman"/>
        </w:rPr>
        <w:t>full-time faculty</w:t>
      </w:r>
      <w:r w:rsidR="002652DB">
        <w:rPr>
          <w:rFonts w:ascii="Times New Roman" w:hAnsi="Times New Roman" w:cs="Times New Roman"/>
        </w:rPr>
        <w:t xml:space="preserve"> </w:t>
      </w:r>
      <w:r w:rsidR="00F2510B" w:rsidRPr="001F78EF">
        <w:rPr>
          <w:rFonts w:ascii="Times New Roman" w:hAnsi="Times New Roman" w:cs="Times New Roman"/>
        </w:rPr>
        <w:t>ha</w:t>
      </w:r>
      <w:r w:rsidR="002652DB">
        <w:rPr>
          <w:rFonts w:ascii="Times New Roman" w:hAnsi="Times New Roman" w:cs="Times New Roman"/>
        </w:rPr>
        <w:t>s</w:t>
      </w:r>
      <w:r w:rsidR="00F2510B" w:rsidRPr="001F78EF">
        <w:rPr>
          <w:rFonts w:ascii="Times New Roman" w:hAnsi="Times New Roman" w:cs="Times New Roman"/>
        </w:rPr>
        <w:t xml:space="preserve"> </w:t>
      </w:r>
      <w:r w:rsidR="00905CE5">
        <w:rPr>
          <w:rFonts w:ascii="Times New Roman" w:hAnsi="Times New Roman" w:cs="Times New Roman"/>
        </w:rPr>
        <w:t>had a significant negative impact on enrollment. There is now only one full-time instructor, and he also serves as the Department Chair. Please note that it has been</w:t>
      </w:r>
      <w:r w:rsidR="00F2510B" w:rsidRPr="001F78EF">
        <w:rPr>
          <w:rFonts w:ascii="Times New Roman" w:hAnsi="Times New Roman" w:cs="Times New Roman"/>
        </w:rPr>
        <w:t xml:space="preserve"> very difficult to replace </w:t>
      </w:r>
      <w:r w:rsidR="00905CE5">
        <w:rPr>
          <w:rFonts w:ascii="Times New Roman" w:hAnsi="Times New Roman" w:cs="Times New Roman"/>
        </w:rPr>
        <w:t xml:space="preserve">the instructor who was lost </w:t>
      </w:r>
      <w:r w:rsidR="00F2510B" w:rsidRPr="001F78EF">
        <w:rPr>
          <w:rFonts w:ascii="Times New Roman" w:hAnsi="Times New Roman" w:cs="Times New Roman"/>
        </w:rPr>
        <w:t xml:space="preserve">due to </w:t>
      </w:r>
      <w:r w:rsidR="00A5346D">
        <w:rPr>
          <w:rFonts w:ascii="Times New Roman" w:hAnsi="Times New Roman" w:cs="Times New Roman"/>
        </w:rPr>
        <w:t xml:space="preserve">a </w:t>
      </w:r>
      <w:r w:rsidR="00F2510B" w:rsidRPr="001F78EF">
        <w:rPr>
          <w:rFonts w:ascii="Times New Roman" w:hAnsi="Times New Roman" w:cs="Times New Roman"/>
        </w:rPr>
        <w:t>shortage in qualified machinist and CNC specialists. Salaries offered outside the college for CNC specialist</w:t>
      </w:r>
      <w:r w:rsidR="00A5346D">
        <w:rPr>
          <w:rFonts w:ascii="Times New Roman" w:hAnsi="Times New Roman" w:cs="Times New Roman"/>
        </w:rPr>
        <w:t>s</w:t>
      </w:r>
      <w:r w:rsidR="00F2510B" w:rsidRPr="001F78EF">
        <w:rPr>
          <w:rFonts w:ascii="Times New Roman" w:hAnsi="Times New Roman" w:cs="Times New Roman"/>
        </w:rPr>
        <w:t xml:space="preserve"> </w:t>
      </w:r>
      <w:proofErr w:type="gramStart"/>
      <w:r w:rsidR="00F2510B" w:rsidRPr="001F78EF">
        <w:rPr>
          <w:rFonts w:ascii="Times New Roman" w:hAnsi="Times New Roman" w:cs="Times New Roman"/>
        </w:rPr>
        <w:t>are more th</w:t>
      </w:r>
      <w:r w:rsidR="002652DB">
        <w:rPr>
          <w:rFonts w:ascii="Times New Roman" w:hAnsi="Times New Roman" w:cs="Times New Roman"/>
        </w:rPr>
        <w:t>an</w:t>
      </w:r>
      <w:r w:rsidR="00F2510B" w:rsidRPr="001F78EF">
        <w:rPr>
          <w:rFonts w:ascii="Times New Roman" w:hAnsi="Times New Roman" w:cs="Times New Roman"/>
        </w:rPr>
        <w:t xml:space="preserve"> double the salar</w:t>
      </w:r>
      <w:r w:rsidR="002652DB">
        <w:rPr>
          <w:rFonts w:ascii="Times New Roman" w:hAnsi="Times New Roman" w:cs="Times New Roman"/>
        </w:rPr>
        <w:t>ies</w:t>
      </w:r>
      <w:r w:rsidR="00F2510B" w:rsidRPr="001F78EF">
        <w:rPr>
          <w:rFonts w:ascii="Times New Roman" w:hAnsi="Times New Roman" w:cs="Times New Roman"/>
        </w:rPr>
        <w:t xml:space="preserve"> offered by </w:t>
      </w:r>
      <w:r w:rsidR="0045483F">
        <w:rPr>
          <w:rFonts w:ascii="Times New Roman" w:hAnsi="Times New Roman" w:cs="Times New Roman"/>
        </w:rPr>
        <w:t>De Anza</w:t>
      </w:r>
      <w:proofErr w:type="gramEnd"/>
      <w:r w:rsidR="00905CE5">
        <w:rPr>
          <w:rFonts w:ascii="Times New Roman" w:hAnsi="Times New Roman" w:cs="Times New Roman"/>
        </w:rPr>
        <w:t xml:space="preserve">. </w:t>
      </w:r>
      <w:r w:rsidR="006B653E" w:rsidRPr="001F78EF">
        <w:rPr>
          <w:rFonts w:ascii="Times New Roman" w:hAnsi="Times New Roman" w:cs="Times New Roman"/>
        </w:rPr>
        <w:t xml:space="preserve">We are hoping that we will be able to hire a new </w:t>
      </w:r>
      <w:r w:rsidR="002652DB">
        <w:rPr>
          <w:rFonts w:ascii="Times New Roman" w:hAnsi="Times New Roman" w:cs="Times New Roman"/>
        </w:rPr>
        <w:t>instructor</w:t>
      </w:r>
      <w:r w:rsidR="006B653E" w:rsidRPr="001F78EF">
        <w:rPr>
          <w:rFonts w:ascii="Times New Roman" w:hAnsi="Times New Roman" w:cs="Times New Roman"/>
        </w:rPr>
        <w:t xml:space="preserve"> for </w:t>
      </w:r>
      <w:r w:rsidR="00A5346D">
        <w:rPr>
          <w:rFonts w:ascii="Times New Roman" w:hAnsi="Times New Roman" w:cs="Times New Roman"/>
        </w:rPr>
        <w:t xml:space="preserve">the </w:t>
      </w:r>
      <w:r w:rsidR="006B653E" w:rsidRPr="001F78EF">
        <w:rPr>
          <w:rFonts w:ascii="Times New Roman" w:hAnsi="Times New Roman" w:cs="Times New Roman"/>
        </w:rPr>
        <w:t>2016-2017 academic year.</w:t>
      </w:r>
    </w:p>
    <w:p w:rsidR="00EE7324" w:rsidRDefault="00EE7324" w:rsidP="00EE7324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 xml:space="preserve">New DMT classes in the area of 3-D printing </w:t>
      </w:r>
      <w:r w:rsidR="00051078">
        <w:rPr>
          <w:rFonts w:ascii="Times New Roman" w:hAnsi="Times New Roman" w:cs="Times New Roman"/>
        </w:rPr>
        <w:t>as well as</w:t>
      </w:r>
      <w:r w:rsidRPr="001F78EF">
        <w:rPr>
          <w:rFonts w:ascii="Times New Roman" w:hAnsi="Times New Roman" w:cs="Times New Roman"/>
        </w:rPr>
        <w:t xml:space="preserve"> other new technology courses should boost enrollment in the DMT program.  Revision</w:t>
      </w:r>
      <w:r w:rsidR="00E35DBA">
        <w:rPr>
          <w:rFonts w:ascii="Times New Roman" w:hAnsi="Times New Roman" w:cs="Times New Roman"/>
        </w:rPr>
        <w:t>s</w:t>
      </w:r>
      <w:r w:rsidRPr="001F78EF">
        <w:rPr>
          <w:rFonts w:ascii="Times New Roman" w:hAnsi="Times New Roman" w:cs="Times New Roman"/>
        </w:rPr>
        <w:t xml:space="preserve"> to existing courses, new courses, and better scheduling are </w:t>
      </w:r>
      <w:r w:rsidR="00E35DBA">
        <w:rPr>
          <w:rFonts w:ascii="Times New Roman" w:hAnsi="Times New Roman" w:cs="Times New Roman"/>
        </w:rPr>
        <w:t xml:space="preserve">also </w:t>
      </w:r>
      <w:r w:rsidRPr="001F78EF">
        <w:rPr>
          <w:rFonts w:ascii="Times New Roman" w:hAnsi="Times New Roman" w:cs="Times New Roman"/>
        </w:rPr>
        <w:t xml:space="preserve">being discussed as ways to improve enrollment.  </w:t>
      </w:r>
    </w:p>
    <w:p w:rsidR="00E73E3A" w:rsidRPr="00E73E3A" w:rsidRDefault="00E73E3A" w:rsidP="00EE7324">
      <w:pPr>
        <w:spacing w:after="0" w:line="360" w:lineRule="auto"/>
        <w:ind w:firstLine="720"/>
        <w:rPr>
          <w:rFonts w:ascii="Times New Roman" w:hAnsi="Times New Roman" w:cs="Times New Roman"/>
          <w:sz w:val="10"/>
          <w:szCs w:val="10"/>
        </w:rPr>
      </w:pPr>
    </w:p>
    <w:tbl>
      <w:tblPr>
        <w:tblW w:w="9310" w:type="dxa"/>
        <w:tblInd w:w="93" w:type="dxa"/>
        <w:tblLook w:val="04A0" w:firstRow="1" w:lastRow="0" w:firstColumn="1" w:lastColumn="0" w:noHBand="0" w:noVBand="1"/>
      </w:tblPr>
      <w:tblGrid>
        <w:gridCol w:w="1390"/>
        <w:gridCol w:w="1620"/>
        <w:gridCol w:w="1620"/>
        <w:gridCol w:w="1620"/>
        <w:gridCol w:w="1440"/>
        <w:gridCol w:w="1620"/>
      </w:tblGrid>
      <w:tr w:rsidR="002330D5" w:rsidRPr="001F78EF" w:rsidTr="001F78EF">
        <w:trPr>
          <w:trHeight w:val="314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2014-2015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 Year Diff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 Year % Diff</w:t>
            </w:r>
          </w:p>
        </w:tc>
      </w:tr>
      <w:tr w:rsidR="002330D5" w:rsidRPr="001F78EF" w:rsidTr="001F78EF">
        <w:trPr>
          <w:trHeight w:val="3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Enrollment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2,370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2,427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2,385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-42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-1.73%</w:t>
            </w:r>
          </w:p>
        </w:tc>
      </w:tr>
      <w:tr w:rsidR="002330D5" w:rsidRPr="001F78EF" w:rsidTr="001F78EF">
        <w:trPr>
          <w:trHeight w:val="332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13,783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14,244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13,995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-249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-1.75%</w:t>
            </w:r>
          </w:p>
        </w:tc>
      </w:tr>
      <w:tr w:rsidR="002330D5" w:rsidRPr="001F78EF" w:rsidTr="001F78EF">
        <w:trPr>
          <w:trHeight w:val="35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Productivity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30D5" w:rsidRPr="001F78EF" w:rsidRDefault="002330D5" w:rsidP="002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-3.78%</w:t>
            </w:r>
          </w:p>
        </w:tc>
      </w:tr>
    </w:tbl>
    <w:p w:rsidR="0049658C" w:rsidRPr="001F78EF" w:rsidRDefault="0049658C" w:rsidP="00850DC7">
      <w:pPr>
        <w:spacing w:before="120" w:after="240" w:line="240" w:lineRule="auto"/>
        <w:jc w:val="center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  <w:i/>
        </w:rPr>
        <w:t>Table 3.0:</w:t>
      </w:r>
      <w:r w:rsidRPr="001F78EF">
        <w:rPr>
          <w:rFonts w:ascii="Times New Roman" w:hAnsi="Times New Roman" w:cs="Times New Roman"/>
        </w:rPr>
        <w:t xml:space="preserve"> Applied Technologies Enrollment (http://www.deanza.edu/ir/Program_Review_2014-15/AUTO.pdf).</w:t>
      </w:r>
    </w:p>
    <w:p w:rsidR="00B46565" w:rsidRPr="001F78EF" w:rsidRDefault="006C762E" w:rsidP="005A4866">
      <w:pPr>
        <w:rPr>
          <w:rFonts w:ascii="Times New Roman" w:hAnsi="Times New Roman" w:cs="Times New Roman"/>
          <w:b/>
          <w:u w:val="single"/>
        </w:rPr>
      </w:pPr>
      <w:r w:rsidRPr="001F78EF">
        <w:rPr>
          <w:rFonts w:ascii="Times New Roman" w:hAnsi="Times New Roman" w:cs="Times New Roman"/>
          <w:b/>
          <w:u w:val="single"/>
        </w:rPr>
        <w:t>Success Rates:</w:t>
      </w:r>
    </w:p>
    <w:p w:rsidR="006C762E" w:rsidRPr="001F78EF" w:rsidRDefault="006C762E" w:rsidP="006C762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1F78EF">
        <w:rPr>
          <w:rFonts w:ascii="Times New Roman" w:hAnsi="Times New Roman" w:cs="Times New Roman"/>
          <w:b/>
        </w:rPr>
        <w:t>Accounting, Business, CDI, Computer Science and Real Estate:</w:t>
      </w:r>
    </w:p>
    <w:p w:rsidR="00B612B9" w:rsidRPr="001F78EF" w:rsidRDefault="00B612B9" w:rsidP="004F044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</w:rPr>
        <w:t xml:space="preserve">As shown in Table 4.0, the Accounting, Business, Computer Science, CDI, and </w:t>
      </w:r>
      <w:r w:rsidR="00A5346D">
        <w:rPr>
          <w:rFonts w:ascii="Times New Roman" w:hAnsi="Times New Roman" w:cs="Times New Roman"/>
        </w:rPr>
        <w:t>R</w:t>
      </w:r>
      <w:r w:rsidRPr="001F78EF">
        <w:rPr>
          <w:rFonts w:ascii="Times New Roman" w:hAnsi="Times New Roman" w:cs="Times New Roman"/>
        </w:rPr>
        <w:t xml:space="preserve">eal </w:t>
      </w:r>
      <w:r w:rsidR="00A5346D">
        <w:rPr>
          <w:rFonts w:ascii="Times New Roman" w:hAnsi="Times New Roman" w:cs="Times New Roman"/>
        </w:rPr>
        <w:t>Es</w:t>
      </w:r>
      <w:r w:rsidRPr="001F78EF">
        <w:rPr>
          <w:rFonts w:ascii="Times New Roman" w:hAnsi="Times New Roman" w:cs="Times New Roman"/>
        </w:rPr>
        <w:t xml:space="preserve">tate </w:t>
      </w:r>
      <w:r w:rsidR="00A5346D">
        <w:rPr>
          <w:rFonts w:ascii="Times New Roman" w:hAnsi="Times New Roman" w:cs="Times New Roman"/>
        </w:rPr>
        <w:t xml:space="preserve">Departments </w:t>
      </w:r>
      <w:r w:rsidRPr="001F78EF">
        <w:rPr>
          <w:rFonts w:ascii="Times New Roman" w:hAnsi="Times New Roman" w:cs="Times New Roman"/>
        </w:rPr>
        <w:t>ha</w:t>
      </w:r>
      <w:r w:rsidR="00A5346D">
        <w:rPr>
          <w:rFonts w:ascii="Times New Roman" w:hAnsi="Times New Roman" w:cs="Times New Roman"/>
        </w:rPr>
        <w:t>ve</w:t>
      </w:r>
      <w:r w:rsidRPr="001F78EF">
        <w:rPr>
          <w:rFonts w:ascii="Times New Roman" w:hAnsi="Times New Roman" w:cs="Times New Roman"/>
        </w:rPr>
        <w:t xml:space="preserve"> an overall success rate of 72</w:t>
      </w:r>
      <w:proofErr w:type="gramStart"/>
      <w:r w:rsidRPr="001F78EF">
        <w:rPr>
          <w:rFonts w:ascii="Times New Roman" w:hAnsi="Times New Roman" w:cs="Times New Roman"/>
        </w:rPr>
        <w:t>% which</w:t>
      </w:r>
      <w:proofErr w:type="gramEnd"/>
      <w:r w:rsidRPr="001F78EF">
        <w:rPr>
          <w:rFonts w:ascii="Times New Roman" w:hAnsi="Times New Roman" w:cs="Times New Roman"/>
        </w:rPr>
        <w:t xml:space="preserve"> is 1% over 2013-2014.</w:t>
      </w:r>
      <w:r w:rsidR="0047676A" w:rsidRPr="001F78EF">
        <w:rPr>
          <w:rFonts w:ascii="Times New Roman" w:hAnsi="Times New Roman" w:cs="Times New Roman"/>
        </w:rPr>
        <w:t xml:space="preserve"> Table 5.0 shows the success rate by ethnic group.  </w:t>
      </w:r>
      <w:r w:rsidR="00F47F71" w:rsidRPr="001F78EF">
        <w:rPr>
          <w:rFonts w:ascii="Times New Roman" w:hAnsi="Times New Roman" w:cs="Times New Roman"/>
        </w:rPr>
        <w:t xml:space="preserve">Although the gap is still at 17%, </w:t>
      </w:r>
      <w:r w:rsidR="004F044B" w:rsidRPr="001F78EF">
        <w:rPr>
          <w:rFonts w:ascii="Times New Roman" w:hAnsi="Times New Roman" w:cs="Times New Roman"/>
        </w:rPr>
        <w:t>w</w:t>
      </w:r>
      <w:r w:rsidR="0047676A" w:rsidRPr="001F78EF">
        <w:rPr>
          <w:rFonts w:ascii="Times New Roman" w:hAnsi="Times New Roman" w:cs="Times New Roman"/>
        </w:rPr>
        <w:t>ith the exception of Native American</w:t>
      </w:r>
      <w:r w:rsidR="00A5346D">
        <w:rPr>
          <w:rFonts w:ascii="Times New Roman" w:hAnsi="Times New Roman" w:cs="Times New Roman"/>
        </w:rPr>
        <w:t>s,</w:t>
      </w:r>
      <w:r w:rsidR="0047676A" w:rsidRPr="001F78EF">
        <w:rPr>
          <w:rFonts w:ascii="Times New Roman" w:hAnsi="Times New Roman" w:cs="Times New Roman"/>
        </w:rPr>
        <w:t xml:space="preserve"> which has </w:t>
      </w:r>
      <w:r w:rsidR="00A5346D">
        <w:rPr>
          <w:rFonts w:ascii="Times New Roman" w:hAnsi="Times New Roman" w:cs="Times New Roman"/>
        </w:rPr>
        <w:t xml:space="preserve">a </w:t>
      </w:r>
      <w:r w:rsidR="0047676A" w:rsidRPr="001F78EF">
        <w:rPr>
          <w:rFonts w:ascii="Times New Roman" w:hAnsi="Times New Roman" w:cs="Times New Roman"/>
        </w:rPr>
        <w:t xml:space="preserve">10% drop over 2013-2014, the success </w:t>
      </w:r>
      <w:r w:rsidR="00E52623" w:rsidRPr="001F78EF">
        <w:rPr>
          <w:rFonts w:ascii="Times New Roman" w:hAnsi="Times New Roman" w:cs="Times New Roman"/>
        </w:rPr>
        <w:t xml:space="preserve">of targeted groups has improved by at least 1%.  The highest increase was for Pacific </w:t>
      </w:r>
      <w:proofErr w:type="gramStart"/>
      <w:r w:rsidR="00E52623" w:rsidRPr="001F78EF">
        <w:rPr>
          <w:rFonts w:ascii="Times New Roman" w:hAnsi="Times New Roman" w:cs="Times New Roman"/>
        </w:rPr>
        <w:t>Islanders which</w:t>
      </w:r>
      <w:proofErr w:type="gramEnd"/>
      <w:r w:rsidR="00E52623" w:rsidRPr="001F78EF">
        <w:rPr>
          <w:rFonts w:ascii="Times New Roman" w:hAnsi="Times New Roman" w:cs="Times New Roman"/>
        </w:rPr>
        <w:t xml:space="preserve"> is 13%</w:t>
      </w:r>
      <w:r w:rsidR="00F7307F" w:rsidRPr="001F78EF">
        <w:rPr>
          <w:rFonts w:ascii="Times New Roman" w:hAnsi="Times New Roman" w:cs="Times New Roman"/>
        </w:rPr>
        <w:t xml:space="preserve">.  </w:t>
      </w:r>
      <w:r w:rsidR="004F044B" w:rsidRPr="001F78EF">
        <w:rPr>
          <w:rFonts w:ascii="Times New Roman" w:hAnsi="Times New Roman" w:cs="Times New Roman"/>
        </w:rPr>
        <w:t>Native America</w:t>
      </w:r>
      <w:r w:rsidR="00A5346D">
        <w:rPr>
          <w:rFonts w:ascii="Times New Roman" w:hAnsi="Times New Roman" w:cs="Times New Roman"/>
        </w:rPr>
        <w:t>ns</w:t>
      </w:r>
      <w:r w:rsidR="004F044B" w:rsidRPr="001F78EF">
        <w:rPr>
          <w:rFonts w:ascii="Times New Roman" w:hAnsi="Times New Roman" w:cs="Times New Roman"/>
        </w:rPr>
        <w:t xml:space="preserve"> ha</w:t>
      </w:r>
      <w:r w:rsidR="00A5346D">
        <w:rPr>
          <w:rFonts w:ascii="Times New Roman" w:hAnsi="Times New Roman" w:cs="Times New Roman"/>
        </w:rPr>
        <w:t>ve</w:t>
      </w:r>
      <w:r w:rsidR="004F044B" w:rsidRPr="001F78EF">
        <w:rPr>
          <w:rFonts w:ascii="Times New Roman" w:hAnsi="Times New Roman" w:cs="Times New Roman"/>
        </w:rPr>
        <w:t xml:space="preserve"> declined by 10%, but the sample size is very small.</w:t>
      </w:r>
    </w:p>
    <w:tbl>
      <w:tblPr>
        <w:tblW w:w="8140" w:type="dxa"/>
        <w:jc w:val="center"/>
        <w:tblInd w:w="93" w:type="dxa"/>
        <w:tblLook w:val="04A0" w:firstRow="1" w:lastRow="0" w:firstColumn="1" w:lastColumn="0" w:noHBand="0" w:noVBand="1"/>
      </w:tblPr>
      <w:tblGrid>
        <w:gridCol w:w="2580"/>
        <w:gridCol w:w="1400"/>
        <w:gridCol w:w="1400"/>
        <w:gridCol w:w="1400"/>
        <w:gridCol w:w="1360"/>
      </w:tblGrid>
      <w:tr w:rsidR="00E34252" w:rsidRPr="001F78EF" w:rsidTr="00E34252">
        <w:trPr>
          <w:trHeight w:val="45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Year Diff</w:t>
            </w:r>
          </w:p>
        </w:tc>
      </w:tr>
      <w:tr w:rsidR="00E34252" w:rsidRPr="001F78EF" w:rsidTr="001F78EF">
        <w:trPr>
          <w:trHeight w:val="27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Overall Success Rates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E34252" w:rsidRPr="001F78EF" w:rsidTr="001F78EF">
        <w:trPr>
          <w:trHeight w:val="35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Targeted Groups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E34252" w:rsidRPr="001F78EF" w:rsidTr="001F78EF">
        <w:trPr>
          <w:trHeight w:val="269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Non-Targeted Group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E3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E34252" w:rsidRPr="001F78EF" w:rsidTr="00524E98">
        <w:trPr>
          <w:trHeight w:val="485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34252" w:rsidRPr="001F78EF" w:rsidRDefault="00E34252" w:rsidP="00850DC7">
            <w:pPr>
              <w:spacing w:before="120"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34252" w:rsidRPr="001F78EF" w:rsidRDefault="00E34252" w:rsidP="00850DC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34252" w:rsidRPr="001F78EF" w:rsidRDefault="00E34252" w:rsidP="00850DC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34252" w:rsidRPr="001F78EF" w:rsidRDefault="00E34252" w:rsidP="00850DC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252" w:rsidRPr="001F78EF" w:rsidRDefault="00E34252" w:rsidP="00850DC7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546A7" w:rsidRDefault="00E34252" w:rsidP="00850DC7">
      <w:pPr>
        <w:spacing w:before="120" w:after="240"/>
        <w:jc w:val="center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  <w:i/>
        </w:rPr>
        <w:t>Table 4.</w:t>
      </w:r>
      <w:r w:rsidRPr="001F78EF">
        <w:rPr>
          <w:rFonts w:ascii="Times New Roman" w:hAnsi="Times New Roman" w:cs="Times New Roman"/>
        </w:rPr>
        <w:t xml:space="preserve"> </w:t>
      </w:r>
      <w:proofErr w:type="gramStart"/>
      <w:r w:rsidRPr="001F78EF">
        <w:rPr>
          <w:rFonts w:ascii="Times New Roman" w:hAnsi="Times New Roman" w:cs="Times New Roman"/>
        </w:rPr>
        <w:t>Success Rates (</w:t>
      </w:r>
      <w:hyperlink r:id="rId10" w:history="1">
        <w:proofErr w:type="gramEnd"/>
        <w:r w:rsidRPr="001F78EF">
          <w:rPr>
            <w:rStyle w:val="Hyperlink"/>
            <w:rFonts w:ascii="Times New Roman" w:hAnsi="Times New Roman" w:cs="Times New Roman"/>
          </w:rPr>
          <w:t>http://www.deanza.edu/ir/program-review_2013-14/CB_Div.pdf</w:t>
        </w:r>
        <w:proofErr w:type="gramStart"/>
      </w:hyperlink>
      <w:r w:rsidRPr="001F78EF">
        <w:rPr>
          <w:rFonts w:ascii="Times New Roman" w:hAnsi="Times New Roman" w:cs="Times New Roman"/>
        </w:rPr>
        <w:t>).</w:t>
      </w:r>
      <w:proofErr w:type="gramEnd"/>
      <w:r w:rsidRPr="001F78EF">
        <w:rPr>
          <w:rFonts w:ascii="Times New Roman" w:hAnsi="Times New Roman" w:cs="Times New Roman"/>
        </w:rPr>
        <w:t xml:space="preserve"> 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218"/>
        <w:gridCol w:w="1145"/>
        <w:gridCol w:w="868"/>
        <w:gridCol w:w="997"/>
        <w:gridCol w:w="1043"/>
        <w:gridCol w:w="1215"/>
        <w:gridCol w:w="1084"/>
        <w:gridCol w:w="878"/>
        <w:gridCol w:w="1035"/>
      </w:tblGrid>
      <w:tr w:rsidR="00E52623" w:rsidRPr="001F78EF" w:rsidTr="00524E98">
        <w:trPr>
          <w:trHeight w:val="71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1B5" w:rsidRDefault="007A51B5" w:rsidP="007A5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46A7" w:rsidRPr="001F78EF" w:rsidRDefault="004546A7" w:rsidP="007A5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African American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Asian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Filipino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Latino/a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Native American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Pacific Islande</w:t>
            </w:r>
            <w:r w:rsidR="00B612B9"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White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Declined to State</w:t>
            </w:r>
          </w:p>
        </w:tc>
      </w:tr>
      <w:tr w:rsidR="0047676A" w:rsidRPr="001F78EF" w:rsidTr="00524E98">
        <w:trPr>
          <w:trHeight w:val="359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52%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63%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58%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62%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55%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</w:tr>
      <w:tr w:rsidR="0047676A" w:rsidRPr="001F78EF" w:rsidTr="00524E98">
        <w:trPr>
          <w:trHeight w:val="341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65%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79%</w:t>
            </w:r>
          </w:p>
        </w:tc>
      </w:tr>
      <w:tr w:rsidR="00E52623" w:rsidRPr="001F78EF" w:rsidTr="00524E98">
        <w:trPr>
          <w:trHeight w:val="3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Change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</w:rPr>
              <w:t>-10%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A51B5" w:rsidRPr="001F78EF" w:rsidRDefault="007A51B5" w:rsidP="007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2%</w:t>
            </w:r>
          </w:p>
        </w:tc>
      </w:tr>
    </w:tbl>
    <w:p w:rsidR="00F67EF3" w:rsidRPr="001F78EF" w:rsidRDefault="00E52623" w:rsidP="00850DC7">
      <w:pPr>
        <w:spacing w:before="120" w:after="240" w:line="240" w:lineRule="auto"/>
        <w:jc w:val="center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  <w:i/>
        </w:rPr>
        <w:t xml:space="preserve">Table </w:t>
      </w:r>
      <w:r w:rsidR="00E34252" w:rsidRPr="001F78EF">
        <w:rPr>
          <w:rFonts w:ascii="Times New Roman" w:hAnsi="Times New Roman" w:cs="Times New Roman"/>
          <w:i/>
        </w:rPr>
        <w:t>5</w:t>
      </w:r>
      <w:r w:rsidRPr="001F78EF">
        <w:rPr>
          <w:rFonts w:ascii="Times New Roman" w:hAnsi="Times New Roman" w:cs="Times New Roman"/>
          <w:i/>
        </w:rPr>
        <w:t>.</w:t>
      </w:r>
      <w:r w:rsidRPr="001F78EF">
        <w:rPr>
          <w:rFonts w:ascii="Times New Roman" w:hAnsi="Times New Roman" w:cs="Times New Roman"/>
        </w:rPr>
        <w:t xml:space="preserve"> </w:t>
      </w:r>
      <w:proofErr w:type="gramStart"/>
      <w:r w:rsidRPr="001F78EF">
        <w:rPr>
          <w:rFonts w:ascii="Times New Roman" w:hAnsi="Times New Roman" w:cs="Times New Roman"/>
        </w:rPr>
        <w:t>Enrollment by Ethnic Group (</w:t>
      </w:r>
      <w:hyperlink r:id="rId11" w:history="1">
        <w:proofErr w:type="gramEnd"/>
        <w:r w:rsidRPr="001F78EF">
          <w:rPr>
            <w:rStyle w:val="Hyperlink"/>
            <w:rFonts w:ascii="Times New Roman" w:hAnsi="Times New Roman" w:cs="Times New Roman"/>
          </w:rPr>
          <w:t>http://www.deanza.edu/ir/program-review_2013-14/CB_Div.pdf</w:t>
        </w:r>
        <w:proofErr w:type="gramStart"/>
      </w:hyperlink>
      <w:r w:rsidRPr="001F78EF">
        <w:rPr>
          <w:rFonts w:ascii="Times New Roman" w:hAnsi="Times New Roman" w:cs="Times New Roman"/>
        </w:rPr>
        <w:t>).</w:t>
      </w:r>
      <w:proofErr w:type="gramEnd"/>
    </w:p>
    <w:p w:rsidR="00F67EF3" w:rsidRDefault="00F67EF3" w:rsidP="00E34252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1F78EF">
        <w:rPr>
          <w:rFonts w:ascii="Times New Roman" w:hAnsi="Times New Roman" w:cs="Times New Roman"/>
          <w:b/>
        </w:rPr>
        <w:t>Automotive Technologies and Design and Manufacturing Technologies:</w:t>
      </w:r>
    </w:p>
    <w:p w:rsidR="00F67EF3" w:rsidRDefault="00850DC7" w:rsidP="001A449C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850DC7">
        <w:rPr>
          <w:rFonts w:ascii="Times New Roman" w:hAnsi="Times New Roman" w:cs="Times New Roman"/>
        </w:rPr>
        <w:t xml:space="preserve">As shown in Table </w:t>
      </w:r>
      <w:r w:rsidR="00603099">
        <w:rPr>
          <w:rFonts w:ascii="Times New Roman" w:hAnsi="Times New Roman" w:cs="Times New Roman"/>
        </w:rPr>
        <w:t>6</w:t>
      </w:r>
      <w:r w:rsidRPr="00850DC7">
        <w:rPr>
          <w:rFonts w:ascii="Times New Roman" w:hAnsi="Times New Roman" w:cs="Times New Roman"/>
        </w:rPr>
        <w:t xml:space="preserve">.0, the </w:t>
      </w:r>
      <w:r w:rsidR="004E7198">
        <w:rPr>
          <w:rFonts w:ascii="Times New Roman" w:hAnsi="Times New Roman" w:cs="Times New Roman"/>
        </w:rPr>
        <w:t>Applied Technology Division</w:t>
      </w:r>
      <w:r w:rsidRPr="00850DC7">
        <w:rPr>
          <w:rFonts w:ascii="Times New Roman" w:hAnsi="Times New Roman" w:cs="Times New Roman"/>
        </w:rPr>
        <w:t xml:space="preserve"> h</w:t>
      </w:r>
      <w:r w:rsidR="004E7198">
        <w:rPr>
          <w:rFonts w:ascii="Times New Roman" w:hAnsi="Times New Roman" w:cs="Times New Roman"/>
        </w:rPr>
        <w:t>as an overall success rate of 83</w:t>
      </w:r>
      <w:r w:rsidRPr="00850DC7">
        <w:rPr>
          <w:rFonts w:ascii="Times New Roman" w:hAnsi="Times New Roman" w:cs="Times New Roman"/>
        </w:rPr>
        <w:t xml:space="preserve">% which is </w:t>
      </w:r>
      <w:r w:rsidR="004E7198">
        <w:rPr>
          <w:rFonts w:ascii="Times New Roman" w:hAnsi="Times New Roman" w:cs="Times New Roman"/>
        </w:rPr>
        <w:t>2</w:t>
      </w:r>
      <w:r w:rsidRPr="00850DC7">
        <w:rPr>
          <w:rFonts w:ascii="Times New Roman" w:hAnsi="Times New Roman" w:cs="Times New Roman"/>
        </w:rPr>
        <w:t xml:space="preserve">% </w:t>
      </w:r>
      <w:r w:rsidR="009F0F27">
        <w:rPr>
          <w:rFonts w:ascii="Times New Roman" w:hAnsi="Times New Roman" w:cs="Times New Roman"/>
        </w:rPr>
        <w:t>lower than</w:t>
      </w:r>
      <w:r w:rsidRPr="00850DC7">
        <w:rPr>
          <w:rFonts w:ascii="Times New Roman" w:hAnsi="Times New Roman" w:cs="Times New Roman"/>
        </w:rPr>
        <w:t xml:space="preserve"> 2013-2014. </w:t>
      </w:r>
      <w:r w:rsidR="009F0F27">
        <w:rPr>
          <w:rFonts w:ascii="Times New Roman" w:hAnsi="Times New Roman" w:cs="Times New Roman"/>
        </w:rPr>
        <w:t xml:space="preserve">Although there is a drop of 2%, </w:t>
      </w:r>
      <w:r w:rsidR="00766A78">
        <w:rPr>
          <w:rFonts w:ascii="Times New Roman" w:hAnsi="Times New Roman" w:cs="Times New Roman"/>
        </w:rPr>
        <w:t xml:space="preserve">an </w:t>
      </w:r>
      <w:r w:rsidR="009F0F27">
        <w:rPr>
          <w:rFonts w:ascii="Times New Roman" w:hAnsi="Times New Roman" w:cs="Times New Roman"/>
        </w:rPr>
        <w:t xml:space="preserve">83% success rate is way above the </w:t>
      </w:r>
      <w:r w:rsidR="00524E98">
        <w:rPr>
          <w:rFonts w:ascii="Times New Roman" w:hAnsi="Times New Roman" w:cs="Times New Roman"/>
        </w:rPr>
        <w:t>college</w:t>
      </w:r>
      <w:r w:rsidR="009F0F27">
        <w:rPr>
          <w:rFonts w:ascii="Times New Roman" w:hAnsi="Times New Roman" w:cs="Times New Roman"/>
        </w:rPr>
        <w:t xml:space="preserve"> average. </w:t>
      </w:r>
      <w:r w:rsidRPr="00850DC7">
        <w:rPr>
          <w:rFonts w:ascii="Times New Roman" w:hAnsi="Times New Roman" w:cs="Times New Roman"/>
        </w:rPr>
        <w:t>Although the gap</w:t>
      </w:r>
      <w:r w:rsidR="00673A5C">
        <w:rPr>
          <w:rFonts w:ascii="Times New Roman" w:hAnsi="Times New Roman" w:cs="Times New Roman"/>
        </w:rPr>
        <w:t xml:space="preserve"> between targeted and non-targeted groups</w:t>
      </w:r>
      <w:r w:rsidRPr="00850DC7">
        <w:rPr>
          <w:rFonts w:ascii="Times New Roman" w:hAnsi="Times New Roman" w:cs="Times New Roman"/>
        </w:rPr>
        <w:t xml:space="preserve"> </w:t>
      </w:r>
      <w:r w:rsidR="00524E98">
        <w:rPr>
          <w:rFonts w:ascii="Times New Roman" w:hAnsi="Times New Roman" w:cs="Times New Roman"/>
        </w:rPr>
        <w:t>was</w:t>
      </w:r>
      <w:r w:rsidRPr="00850DC7">
        <w:rPr>
          <w:rFonts w:ascii="Times New Roman" w:hAnsi="Times New Roman" w:cs="Times New Roman"/>
        </w:rPr>
        <w:t xml:space="preserve"> at 1</w:t>
      </w:r>
      <w:r w:rsidR="00C44EAA">
        <w:rPr>
          <w:rFonts w:ascii="Times New Roman" w:hAnsi="Times New Roman" w:cs="Times New Roman"/>
        </w:rPr>
        <w:t>0</w:t>
      </w:r>
      <w:r w:rsidR="00673A5C">
        <w:rPr>
          <w:rFonts w:ascii="Times New Roman" w:hAnsi="Times New Roman" w:cs="Times New Roman"/>
        </w:rPr>
        <w:t>% in 2014-</w:t>
      </w:r>
      <w:r w:rsidR="00C44EAA">
        <w:rPr>
          <w:rFonts w:ascii="Times New Roman" w:hAnsi="Times New Roman" w:cs="Times New Roman"/>
        </w:rPr>
        <w:t>2015</w:t>
      </w:r>
      <w:r w:rsidR="009F7878">
        <w:rPr>
          <w:rFonts w:ascii="Times New Roman" w:hAnsi="Times New Roman" w:cs="Times New Roman"/>
        </w:rPr>
        <w:t xml:space="preserve">, a 77% success rate for targeted groups is still above the campus average.  </w:t>
      </w:r>
      <w:r w:rsidR="001A449C">
        <w:rPr>
          <w:rFonts w:ascii="Times New Roman" w:hAnsi="Times New Roman" w:cs="Times New Roman"/>
        </w:rPr>
        <w:t xml:space="preserve">The </w:t>
      </w:r>
      <w:r w:rsidR="00524E98">
        <w:rPr>
          <w:rFonts w:ascii="Times New Roman" w:hAnsi="Times New Roman" w:cs="Times New Roman"/>
        </w:rPr>
        <w:t xml:space="preserve">slight </w:t>
      </w:r>
      <w:r w:rsidR="001A449C">
        <w:rPr>
          <w:rFonts w:ascii="Times New Roman" w:hAnsi="Times New Roman" w:cs="Times New Roman"/>
        </w:rPr>
        <w:t>drop i</w:t>
      </w:r>
      <w:r w:rsidR="00766A78">
        <w:rPr>
          <w:rFonts w:ascii="Times New Roman" w:hAnsi="Times New Roman" w:cs="Times New Roman"/>
        </w:rPr>
        <w:t>n</w:t>
      </w:r>
      <w:r w:rsidR="001A449C">
        <w:rPr>
          <w:rFonts w:ascii="Times New Roman" w:hAnsi="Times New Roman" w:cs="Times New Roman"/>
        </w:rPr>
        <w:t xml:space="preserve"> success rates may be due </w:t>
      </w:r>
      <w:r w:rsidR="00766A78">
        <w:rPr>
          <w:rFonts w:ascii="Times New Roman" w:hAnsi="Times New Roman" w:cs="Times New Roman"/>
        </w:rPr>
        <w:t xml:space="preserve">to </w:t>
      </w:r>
      <w:r w:rsidR="001A449C">
        <w:rPr>
          <w:rFonts w:ascii="Times New Roman" w:hAnsi="Times New Roman" w:cs="Times New Roman"/>
        </w:rPr>
        <w:t xml:space="preserve">high demand in </w:t>
      </w:r>
      <w:r w:rsidR="00766A78">
        <w:rPr>
          <w:rFonts w:ascii="Times New Roman" w:hAnsi="Times New Roman" w:cs="Times New Roman"/>
        </w:rPr>
        <w:t xml:space="preserve">the </w:t>
      </w:r>
      <w:r w:rsidR="001A449C">
        <w:rPr>
          <w:rFonts w:ascii="Times New Roman" w:hAnsi="Times New Roman" w:cs="Times New Roman"/>
        </w:rPr>
        <w:t>job market as students are being offered attractive job offers</w:t>
      </w:r>
      <w:r w:rsidR="00766A78">
        <w:rPr>
          <w:rFonts w:ascii="Times New Roman" w:hAnsi="Times New Roman" w:cs="Times New Roman"/>
        </w:rPr>
        <w:t>,</w:t>
      </w:r>
      <w:r w:rsidR="001A449C">
        <w:rPr>
          <w:rFonts w:ascii="Times New Roman" w:hAnsi="Times New Roman" w:cs="Times New Roman"/>
        </w:rPr>
        <w:t xml:space="preserve"> mak</w:t>
      </w:r>
      <w:r w:rsidR="00766A78">
        <w:rPr>
          <w:rFonts w:ascii="Times New Roman" w:hAnsi="Times New Roman" w:cs="Times New Roman"/>
        </w:rPr>
        <w:t>ing</w:t>
      </w:r>
      <w:r w:rsidR="001A449C">
        <w:rPr>
          <w:rFonts w:ascii="Times New Roman" w:hAnsi="Times New Roman" w:cs="Times New Roman"/>
        </w:rPr>
        <w:t xml:space="preserve"> it hard to stay in school an</w:t>
      </w:r>
      <w:r w:rsidR="00524E98">
        <w:rPr>
          <w:rFonts w:ascii="Times New Roman" w:hAnsi="Times New Roman" w:cs="Times New Roman"/>
        </w:rPr>
        <w:t>d complete course</w:t>
      </w:r>
      <w:r w:rsidR="001A449C">
        <w:rPr>
          <w:rFonts w:ascii="Times New Roman" w:hAnsi="Times New Roman" w:cs="Times New Roman"/>
        </w:rPr>
        <w:t>work.</w:t>
      </w:r>
    </w:p>
    <w:p w:rsidR="001A449C" w:rsidRPr="001A449C" w:rsidRDefault="001A449C" w:rsidP="001A449C">
      <w:pPr>
        <w:spacing w:after="0" w:line="360" w:lineRule="auto"/>
        <w:ind w:firstLine="720"/>
        <w:rPr>
          <w:rFonts w:ascii="Times New Roman" w:hAnsi="Times New Roman" w:cs="Times New Roman"/>
        </w:rPr>
      </w:pPr>
    </w:p>
    <w:tbl>
      <w:tblPr>
        <w:tblW w:w="8140" w:type="dxa"/>
        <w:jc w:val="center"/>
        <w:tblInd w:w="93" w:type="dxa"/>
        <w:tblLook w:val="04A0" w:firstRow="1" w:lastRow="0" w:firstColumn="1" w:lastColumn="0" w:noHBand="0" w:noVBand="1"/>
      </w:tblPr>
      <w:tblGrid>
        <w:gridCol w:w="2580"/>
        <w:gridCol w:w="1400"/>
        <w:gridCol w:w="1400"/>
        <w:gridCol w:w="1400"/>
        <w:gridCol w:w="1360"/>
      </w:tblGrid>
      <w:tr w:rsidR="00F67EF3" w:rsidRPr="001F78EF" w:rsidTr="00E34252">
        <w:trPr>
          <w:trHeight w:val="48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Year Diff</w:t>
            </w:r>
          </w:p>
        </w:tc>
      </w:tr>
      <w:tr w:rsidR="00F67EF3" w:rsidRPr="001F78EF" w:rsidTr="00673A5C">
        <w:trPr>
          <w:trHeight w:val="30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Overall Success Rates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-2%</w:t>
            </w:r>
          </w:p>
        </w:tc>
      </w:tr>
      <w:tr w:rsidR="00F67EF3" w:rsidRPr="001F78EF" w:rsidTr="00673A5C">
        <w:trPr>
          <w:trHeight w:val="359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Targeted Groups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-3%</w:t>
            </w:r>
          </w:p>
        </w:tc>
      </w:tr>
      <w:tr w:rsidR="00F67EF3" w:rsidRPr="001F78EF" w:rsidTr="00673A5C">
        <w:trPr>
          <w:trHeight w:val="35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Non-Targeted Group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F67EF3" w:rsidRPr="001F78EF" w:rsidTr="00673A5C">
        <w:trPr>
          <w:trHeight w:val="35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67EF3" w:rsidRPr="001F78EF" w:rsidRDefault="00E34252" w:rsidP="00524E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8EF">
        <w:rPr>
          <w:rFonts w:ascii="Times New Roman" w:hAnsi="Times New Roman" w:cs="Times New Roman"/>
          <w:b/>
        </w:rPr>
        <w:br/>
      </w:r>
      <w:r w:rsidRPr="001F78EF">
        <w:rPr>
          <w:rFonts w:ascii="Times New Roman" w:hAnsi="Times New Roman" w:cs="Times New Roman"/>
          <w:i/>
        </w:rPr>
        <w:t>Table 6.</w:t>
      </w:r>
      <w:r w:rsidRPr="001F78EF">
        <w:rPr>
          <w:rFonts w:ascii="Times New Roman" w:hAnsi="Times New Roman" w:cs="Times New Roman"/>
        </w:rPr>
        <w:t xml:space="preserve"> Success Rates for 2AT (</w:t>
      </w:r>
      <w:hyperlink r:id="rId12" w:history="1">
        <w:r w:rsidR="00212A85" w:rsidRPr="00450941">
          <w:rPr>
            <w:rStyle w:val="Hyperlink"/>
            <w:rFonts w:ascii="Times New Roman" w:hAnsi="Times New Roman" w:cs="Times New Roman"/>
          </w:rPr>
          <w:t>http://www.deanza.edu/ir/Program_Review_2014-15/AT_Div.pdf</w:t>
        </w:r>
      </w:hyperlink>
      <w:r w:rsidRPr="001F78EF">
        <w:rPr>
          <w:rFonts w:ascii="Times New Roman" w:hAnsi="Times New Roman" w:cs="Times New Roman"/>
        </w:rPr>
        <w:t>)</w:t>
      </w:r>
    </w:p>
    <w:p w:rsidR="00E35DBA" w:rsidRDefault="00E35DBA" w:rsidP="00F67EF3">
      <w:pPr>
        <w:spacing w:after="0" w:line="360" w:lineRule="auto"/>
        <w:rPr>
          <w:rFonts w:ascii="Times New Roman" w:hAnsi="Times New Roman" w:cs="Times New Roman"/>
        </w:rPr>
      </w:pPr>
    </w:p>
    <w:p w:rsidR="00F67EF3" w:rsidRDefault="00673A5C" w:rsidP="00F67EF3">
      <w:pPr>
        <w:spacing w:after="0" w:line="360" w:lineRule="auto"/>
        <w:rPr>
          <w:rFonts w:ascii="Times New Roman" w:hAnsi="Times New Roman" w:cs="Times New Roman"/>
        </w:rPr>
      </w:pPr>
      <w:r w:rsidRPr="00673A5C">
        <w:rPr>
          <w:rFonts w:ascii="Times New Roman" w:hAnsi="Times New Roman" w:cs="Times New Roman"/>
        </w:rPr>
        <w:tab/>
        <w:t xml:space="preserve">Table </w:t>
      </w:r>
      <w:r w:rsidR="00603099">
        <w:rPr>
          <w:rFonts w:ascii="Times New Roman" w:hAnsi="Times New Roman" w:cs="Times New Roman"/>
        </w:rPr>
        <w:t>7</w:t>
      </w:r>
      <w:r w:rsidRPr="00673A5C">
        <w:rPr>
          <w:rFonts w:ascii="Times New Roman" w:hAnsi="Times New Roman" w:cs="Times New Roman"/>
        </w:rPr>
        <w:t>.0</w:t>
      </w:r>
      <w:r w:rsidR="00D736E9">
        <w:rPr>
          <w:rFonts w:ascii="Times New Roman" w:hAnsi="Times New Roman" w:cs="Times New Roman"/>
        </w:rPr>
        <w:t xml:space="preserve"> shows the success rates by ethics groups.  The major decline is in the Pacific Islander </w:t>
      </w:r>
      <w:proofErr w:type="gramStart"/>
      <w:r w:rsidR="00766A78">
        <w:rPr>
          <w:rFonts w:ascii="Times New Roman" w:hAnsi="Times New Roman" w:cs="Times New Roman"/>
        </w:rPr>
        <w:t xml:space="preserve">group </w:t>
      </w:r>
      <w:r w:rsidR="00D736E9">
        <w:rPr>
          <w:rFonts w:ascii="Times New Roman" w:hAnsi="Times New Roman" w:cs="Times New Roman"/>
        </w:rPr>
        <w:t>which</w:t>
      </w:r>
      <w:proofErr w:type="gramEnd"/>
      <w:r w:rsidR="00D736E9">
        <w:rPr>
          <w:rFonts w:ascii="Times New Roman" w:hAnsi="Times New Roman" w:cs="Times New Roman"/>
        </w:rPr>
        <w:t xml:space="preserve"> has dropped from 85% to 50%.  However, due to </w:t>
      </w:r>
      <w:r w:rsidR="00766A78">
        <w:rPr>
          <w:rFonts w:ascii="Times New Roman" w:hAnsi="Times New Roman" w:cs="Times New Roman"/>
        </w:rPr>
        <w:t xml:space="preserve">the </w:t>
      </w:r>
      <w:r w:rsidR="00D736E9">
        <w:rPr>
          <w:rFonts w:ascii="Times New Roman" w:hAnsi="Times New Roman" w:cs="Times New Roman"/>
        </w:rPr>
        <w:t>small sample size, conclusions on the reasons cannot be accurately drawn.</w:t>
      </w:r>
    </w:p>
    <w:p w:rsidR="00451D4F" w:rsidRPr="00673A5C" w:rsidRDefault="00451D4F" w:rsidP="00F67EF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4"/>
        <w:gridCol w:w="1233"/>
        <w:gridCol w:w="860"/>
        <w:gridCol w:w="908"/>
        <w:gridCol w:w="90"/>
        <w:gridCol w:w="998"/>
        <w:gridCol w:w="82"/>
        <w:gridCol w:w="1170"/>
        <w:gridCol w:w="1080"/>
        <w:gridCol w:w="810"/>
        <w:gridCol w:w="1080"/>
      </w:tblGrid>
      <w:tr w:rsidR="00E34252" w:rsidRPr="001F78EF" w:rsidTr="001A449C">
        <w:trPr>
          <w:trHeight w:val="44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African American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Asian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Filipino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Latino/a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Native American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Pacific Islande</w:t>
            </w:r>
            <w:r w:rsidR="00E34252"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White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Declined to State</w:t>
            </w:r>
          </w:p>
        </w:tc>
      </w:tr>
      <w:tr w:rsidR="00E34252" w:rsidRPr="001F78EF" w:rsidTr="001A449C">
        <w:trPr>
          <w:trHeight w:val="28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</w:tr>
      <w:tr w:rsidR="00E34252" w:rsidRPr="001F78EF" w:rsidTr="001A449C">
        <w:trPr>
          <w:trHeight w:val="26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  <w:tr w:rsidR="00E34252" w:rsidRPr="001F78EF" w:rsidTr="001A449C">
        <w:trPr>
          <w:trHeight w:val="35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Change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</w:rPr>
              <w:t>-6%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</w:rPr>
              <w:t>-4%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</w:rPr>
              <w:t>-3%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</w:rPr>
              <w:t>-35%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7EF3" w:rsidRPr="001F78EF" w:rsidRDefault="00F67EF3" w:rsidP="00F6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</w:rPr>
              <w:t>-6%</w:t>
            </w:r>
          </w:p>
        </w:tc>
      </w:tr>
    </w:tbl>
    <w:p w:rsidR="00E35DBA" w:rsidRDefault="00E35DBA" w:rsidP="00E35D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35DBA" w:rsidRDefault="00E34252" w:rsidP="00B7511D">
      <w:pPr>
        <w:jc w:val="center"/>
        <w:rPr>
          <w:rFonts w:ascii="Times New Roman" w:hAnsi="Times New Roman" w:cs="Times New Roman"/>
          <w:b/>
          <w:u w:val="single"/>
        </w:rPr>
      </w:pPr>
      <w:r w:rsidRPr="001F78EF">
        <w:rPr>
          <w:rFonts w:ascii="Times New Roman" w:hAnsi="Times New Roman" w:cs="Times New Roman"/>
          <w:i/>
        </w:rPr>
        <w:t xml:space="preserve">Table </w:t>
      </w:r>
      <w:r w:rsidR="00673A5C">
        <w:rPr>
          <w:rFonts w:ascii="Times New Roman" w:hAnsi="Times New Roman" w:cs="Times New Roman"/>
          <w:i/>
        </w:rPr>
        <w:t>7</w:t>
      </w:r>
      <w:r w:rsidRPr="001F78EF">
        <w:rPr>
          <w:rFonts w:ascii="Times New Roman" w:hAnsi="Times New Roman" w:cs="Times New Roman"/>
          <w:i/>
        </w:rPr>
        <w:t>.</w:t>
      </w:r>
      <w:r w:rsidRPr="001F78EF">
        <w:rPr>
          <w:rFonts w:ascii="Times New Roman" w:hAnsi="Times New Roman" w:cs="Times New Roman"/>
        </w:rPr>
        <w:t xml:space="preserve"> </w:t>
      </w:r>
      <w:proofErr w:type="gramStart"/>
      <w:r w:rsidRPr="001F78EF">
        <w:rPr>
          <w:rFonts w:ascii="Times New Roman" w:hAnsi="Times New Roman" w:cs="Times New Roman"/>
        </w:rPr>
        <w:t>Enrollment by Ethnic Group</w:t>
      </w:r>
      <w:r w:rsidR="00660634" w:rsidRPr="001F78EF">
        <w:rPr>
          <w:rFonts w:ascii="Times New Roman" w:hAnsi="Times New Roman" w:cs="Times New Roman"/>
        </w:rPr>
        <w:t xml:space="preserve"> for 2AT</w:t>
      </w:r>
      <w:r w:rsidRPr="001F78EF">
        <w:rPr>
          <w:rFonts w:ascii="Times New Roman" w:hAnsi="Times New Roman" w:cs="Times New Roman"/>
        </w:rPr>
        <w:t xml:space="preserve"> (</w:t>
      </w:r>
      <w:hyperlink r:id="rId13" w:history="1">
        <w:r w:rsidR="00660634" w:rsidRPr="001F78EF">
          <w:rPr>
            <w:rStyle w:val="Hyperlink"/>
            <w:rFonts w:ascii="Times New Roman" w:hAnsi="Times New Roman" w:cs="Times New Roman"/>
          </w:rPr>
          <w:t>http://www.deanza.edu/ir/Program_Review_2014-15/AT_Div.pdf</w:t>
        </w:r>
      </w:hyperlink>
      <w:r w:rsidR="00660634" w:rsidRPr="001F78EF">
        <w:rPr>
          <w:rFonts w:ascii="Times New Roman" w:hAnsi="Times New Roman" w:cs="Times New Roman"/>
        </w:rPr>
        <w:t>).</w:t>
      </w:r>
      <w:proofErr w:type="gramEnd"/>
      <w:r w:rsidR="00E35DBA">
        <w:rPr>
          <w:rFonts w:ascii="Times New Roman" w:hAnsi="Times New Roman" w:cs="Times New Roman"/>
          <w:b/>
          <w:u w:val="single"/>
        </w:rPr>
        <w:br w:type="page"/>
      </w:r>
    </w:p>
    <w:p w:rsidR="00F67EF3" w:rsidRPr="001F78EF" w:rsidRDefault="00E34252" w:rsidP="00F67EF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F78EF">
        <w:rPr>
          <w:rFonts w:ascii="Times New Roman" w:hAnsi="Times New Roman" w:cs="Times New Roman"/>
          <w:b/>
          <w:u w:val="single"/>
        </w:rPr>
        <w:lastRenderedPageBreak/>
        <w:t>Job Forecast and Reflection on Enrollment:</w:t>
      </w:r>
    </w:p>
    <w:p w:rsidR="00770DA2" w:rsidRPr="00006039" w:rsidRDefault="00011BA0" w:rsidP="00A81E71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70DA2">
        <w:rPr>
          <w:rFonts w:ascii="Times New Roman" w:hAnsi="Times New Roman" w:cs="Times New Roman"/>
        </w:rPr>
        <w:t xml:space="preserve">Table 8.0 shows the 2014-2024 </w:t>
      </w:r>
      <w:r w:rsidR="00766A78">
        <w:rPr>
          <w:rFonts w:ascii="Times New Roman" w:hAnsi="Times New Roman" w:cs="Times New Roman"/>
        </w:rPr>
        <w:t>J</w:t>
      </w:r>
      <w:r w:rsidRPr="00770DA2">
        <w:rPr>
          <w:rFonts w:ascii="Times New Roman" w:hAnsi="Times New Roman" w:cs="Times New Roman"/>
        </w:rPr>
        <w:t xml:space="preserve">ob </w:t>
      </w:r>
      <w:r w:rsidR="00766A78">
        <w:rPr>
          <w:rFonts w:ascii="Times New Roman" w:hAnsi="Times New Roman" w:cs="Times New Roman"/>
        </w:rPr>
        <w:t>F</w:t>
      </w:r>
      <w:r w:rsidRPr="00770DA2">
        <w:rPr>
          <w:rFonts w:ascii="Times New Roman" w:hAnsi="Times New Roman" w:cs="Times New Roman"/>
        </w:rPr>
        <w:t>orecast</w:t>
      </w:r>
      <w:r w:rsidR="00770DA2" w:rsidRPr="00770DA2">
        <w:rPr>
          <w:rFonts w:ascii="Times New Roman" w:hAnsi="Times New Roman" w:cs="Times New Roman"/>
        </w:rPr>
        <w:t xml:space="preserve"> per the US Department of Labor Statistics. In the third column, you will find a </w:t>
      </w:r>
      <w:proofErr w:type="gramStart"/>
      <w:r w:rsidR="00770DA2" w:rsidRPr="00770DA2">
        <w:rPr>
          <w:rFonts w:ascii="Times New Roman" w:hAnsi="Times New Roman" w:cs="Times New Roman"/>
        </w:rPr>
        <w:t>one year</w:t>
      </w:r>
      <w:proofErr w:type="gramEnd"/>
      <w:r w:rsidR="00770DA2" w:rsidRPr="00770DA2">
        <w:rPr>
          <w:rFonts w:ascii="Times New Roman" w:hAnsi="Times New Roman" w:cs="Times New Roman"/>
        </w:rPr>
        <w:t xml:space="preserve"> change in enrollment (2013-2014 to 2014-2015). </w:t>
      </w:r>
      <w:r w:rsidR="00177ED1">
        <w:rPr>
          <w:rFonts w:ascii="Times New Roman" w:hAnsi="Times New Roman" w:cs="Times New Roman"/>
        </w:rPr>
        <w:t xml:space="preserve"> For the most</w:t>
      </w:r>
      <w:r w:rsidR="00766A78">
        <w:rPr>
          <w:rFonts w:ascii="Times New Roman" w:hAnsi="Times New Roman" w:cs="Times New Roman"/>
        </w:rPr>
        <w:t xml:space="preserve"> part</w:t>
      </w:r>
      <w:r w:rsidR="00177ED1">
        <w:rPr>
          <w:rFonts w:ascii="Times New Roman" w:hAnsi="Times New Roman" w:cs="Times New Roman"/>
        </w:rPr>
        <w:t xml:space="preserve">, the decline could possibly be due to high demand in </w:t>
      </w:r>
      <w:r w:rsidR="00766A78">
        <w:rPr>
          <w:rFonts w:ascii="Times New Roman" w:hAnsi="Times New Roman" w:cs="Times New Roman"/>
        </w:rPr>
        <w:t xml:space="preserve">the </w:t>
      </w:r>
      <w:r w:rsidR="00177ED1">
        <w:rPr>
          <w:rFonts w:ascii="Times New Roman" w:hAnsi="Times New Roman" w:cs="Times New Roman"/>
        </w:rPr>
        <w:t>job market.  The Design and Manu</w:t>
      </w:r>
      <w:r w:rsidR="00192E53">
        <w:rPr>
          <w:rFonts w:ascii="Times New Roman" w:hAnsi="Times New Roman" w:cs="Times New Roman"/>
        </w:rPr>
        <w:t xml:space="preserve">facturing Technologies Department has been operating with only one full time faculty for the past 24 months.  The search has failed twice and the position for a new </w:t>
      </w:r>
      <w:r w:rsidR="00766A78">
        <w:rPr>
          <w:rFonts w:ascii="Times New Roman" w:hAnsi="Times New Roman" w:cs="Times New Roman"/>
        </w:rPr>
        <w:t xml:space="preserve">member of the </w:t>
      </w:r>
      <w:r w:rsidR="00192E53">
        <w:rPr>
          <w:rFonts w:ascii="Times New Roman" w:hAnsi="Times New Roman" w:cs="Times New Roman"/>
        </w:rPr>
        <w:t xml:space="preserve">faculty is still open. Additionally new 3-D printing </w:t>
      </w:r>
      <w:proofErr w:type="gramStart"/>
      <w:r w:rsidR="00192E53">
        <w:rPr>
          <w:rFonts w:ascii="Times New Roman" w:hAnsi="Times New Roman" w:cs="Times New Roman"/>
        </w:rPr>
        <w:t>courses which will be introduced in Fall 2016</w:t>
      </w:r>
      <w:proofErr w:type="gramEnd"/>
      <w:r w:rsidR="00192E53">
        <w:rPr>
          <w:rFonts w:ascii="Times New Roman" w:hAnsi="Times New Roman" w:cs="Times New Roman"/>
        </w:rPr>
        <w:t xml:space="preserve"> should help improve the enrollment.  </w:t>
      </w:r>
      <w:r w:rsidR="008C50F4">
        <w:rPr>
          <w:rFonts w:ascii="Times New Roman" w:hAnsi="Times New Roman" w:cs="Times New Roman"/>
        </w:rPr>
        <w:t xml:space="preserve">One </w:t>
      </w:r>
      <w:r w:rsidR="00766A78">
        <w:rPr>
          <w:rFonts w:ascii="Times New Roman" w:hAnsi="Times New Roman" w:cs="Times New Roman"/>
        </w:rPr>
        <w:t>d</w:t>
      </w:r>
      <w:r w:rsidR="008C50F4">
        <w:rPr>
          <w:rFonts w:ascii="Times New Roman" w:hAnsi="Times New Roman" w:cs="Times New Roman"/>
        </w:rPr>
        <w:t>epartment that is not expected to improve in enrollment anytime soon</w:t>
      </w:r>
      <w:r w:rsidR="00663C13">
        <w:rPr>
          <w:rFonts w:ascii="Times New Roman" w:hAnsi="Times New Roman" w:cs="Times New Roman"/>
        </w:rPr>
        <w:t>,</w:t>
      </w:r>
      <w:r w:rsidR="008C50F4">
        <w:rPr>
          <w:rFonts w:ascii="Times New Roman" w:hAnsi="Times New Roman" w:cs="Times New Roman"/>
        </w:rPr>
        <w:t xml:space="preserve"> is the Real Estate Department. At the moment, there are more real estate agents than the market needs.</w:t>
      </w:r>
      <w:r w:rsidR="00CF6E09">
        <w:rPr>
          <w:rFonts w:ascii="Times New Roman" w:hAnsi="Times New Roman" w:cs="Times New Roman"/>
        </w:rPr>
        <w:t xml:space="preserve"> </w:t>
      </w:r>
      <w:r w:rsidR="00CF6E09" w:rsidRPr="001F78EF">
        <w:rPr>
          <w:rFonts w:ascii="Times New Roman" w:eastAsia="Times New Roman" w:hAnsi="Times New Roman" w:cs="Times New Roman"/>
        </w:rPr>
        <w:t>It is my understanding that some colleges in the surrounding area are closing or reducing course offering</w:t>
      </w:r>
      <w:r w:rsidR="00766A78">
        <w:rPr>
          <w:rFonts w:ascii="Times New Roman" w:eastAsia="Times New Roman" w:hAnsi="Times New Roman" w:cs="Times New Roman"/>
        </w:rPr>
        <w:t>s</w:t>
      </w:r>
      <w:r w:rsidR="00CF6E09" w:rsidRPr="001F78EF">
        <w:rPr>
          <w:rFonts w:ascii="Times New Roman" w:eastAsia="Times New Roman" w:hAnsi="Times New Roman" w:cs="Times New Roman"/>
        </w:rPr>
        <w:t xml:space="preserve"> in real estate.  We have reduced our offering</w:t>
      </w:r>
      <w:r w:rsidR="00766A78">
        <w:rPr>
          <w:rFonts w:ascii="Times New Roman" w:eastAsia="Times New Roman" w:hAnsi="Times New Roman" w:cs="Times New Roman"/>
        </w:rPr>
        <w:t>s</w:t>
      </w:r>
      <w:r w:rsidR="00CF6E09" w:rsidRPr="001F78EF">
        <w:rPr>
          <w:rFonts w:ascii="Times New Roman" w:eastAsia="Times New Roman" w:hAnsi="Times New Roman" w:cs="Times New Roman"/>
        </w:rPr>
        <w:t xml:space="preserve"> and hope to pick </w:t>
      </w:r>
      <w:r w:rsidR="00766A78">
        <w:rPr>
          <w:rFonts w:ascii="Times New Roman" w:eastAsia="Times New Roman" w:hAnsi="Times New Roman" w:cs="Times New Roman"/>
        </w:rPr>
        <w:t xml:space="preserve">up </w:t>
      </w:r>
      <w:r w:rsidR="00CF6E09" w:rsidRPr="001F78EF">
        <w:rPr>
          <w:rFonts w:ascii="Times New Roman" w:eastAsia="Times New Roman" w:hAnsi="Times New Roman" w:cs="Times New Roman"/>
        </w:rPr>
        <w:t>some of the students that no longer can enroll in the other colleges.</w:t>
      </w:r>
      <w:r w:rsidR="00A81E71">
        <w:rPr>
          <w:rFonts w:ascii="Times New Roman" w:eastAsia="Times New Roman" w:hAnsi="Times New Roman" w:cs="Times New Roman"/>
        </w:rPr>
        <w:t xml:space="preserve"> Additional information regarding the real estate job market is shown at (</w:t>
      </w:r>
      <w:hyperlink r:id="rId14" w:history="1">
        <w:r w:rsidR="00A81E71" w:rsidRPr="00601F96">
          <w:rPr>
            <w:rStyle w:val="Hyperlink"/>
            <w:rFonts w:ascii="Times New Roman" w:eastAsia="Times New Roman" w:hAnsi="Times New Roman" w:cs="Times New Roman"/>
          </w:rPr>
          <w:t>http://journal.firsttuesday.us/the-rises-and-declines-of-real-estate-licensees/2983/</w:t>
        </w:r>
      </w:hyperlink>
      <w:r w:rsidR="00A81E71">
        <w:rPr>
          <w:rFonts w:ascii="Times New Roman" w:eastAsia="Times New Roman" w:hAnsi="Times New Roman" w:cs="Times New Roman"/>
        </w:rPr>
        <w:t>)</w:t>
      </w:r>
      <w:r w:rsidR="00006039">
        <w:rPr>
          <w:rFonts w:ascii="Times New Roman" w:eastAsia="Times New Roman" w:hAnsi="Times New Roman" w:cs="Times New Roman"/>
        </w:rPr>
        <w:t>.</w:t>
      </w:r>
    </w:p>
    <w:tbl>
      <w:tblPr>
        <w:tblW w:w="8730" w:type="dxa"/>
        <w:jc w:val="center"/>
        <w:tblInd w:w="108" w:type="dxa"/>
        <w:tblLook w:val="04A0" w:firstRow="1" w:lastRow="0" w:firstColumn="1" w:lastColumn="0" w:noHBand="0" w:noVBand="1"/>
      </w:tblPr>
      <w:tblGrid>
        <w:gridCol w:w="4050"/>
        <w:gridCol w:w="2250"/>
        <w:gridCol w:w="2430"/>
      </w:tblGrid>
      <w:tr w:rsidR="00F03B72" w:rsidRPr="001F78EF" w:rsidTr="00006039">
        <w:trPr>
          <w:trHeight w:val="584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Discipline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2014-2024 Forecast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Year Change in Enrollment</w:t>
            </w:r>
          </w:p>
        </w:tc>
      </w:tr>
      <w:tr w:rsidR="00F03B72" w:rsidRPr="001F78EF" w:rsidTr="00006039">
        <w:trPr>
          <w:trHeight w:val="251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Accounting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11%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-2.90%</w:t>
            </w:r>
          </w:p>
        </w:tc>
      </w:tr>
      <w:tr w:rsidR="00F03B72" w:rsidRPr="001F78EF" w:rsidTr="00006039">
        <w:trPr>
          <w:trHeight w:val="26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Automotive Technologies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5%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-3%</w:t>
            </w:r>
          </w:p>
        </w:tc>
      </w:tr>
      <w:tr w:rsidR="00F03B72" w:rsidRPr="001F78EF" w:rsidTr="00006039">
        <w:trPr>
          <w:trHeight w:val="26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Business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8%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2.70%</w:t>
            </w:r>
          </w:p>
        </w:tc>
      </w:tr>
      <w:tr w:rsidR="00F03B72" w:rsidRPr="001F78EF" w:rsidTr="00006039">
        <w:trPr>
          <w:trHeight w:val="26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Computer Science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12%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31.10%</w:t>
            </w:r>
          </w:p>
        </w:tc>
      </w:tr>
      <w:tr w:rsidR="00F03B72" w:rsidRPr="001F78EF" w:rsidTr="00006039">
        <w:trPr>
          <w:trHeight w:val="251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 and Manufacturing Technologies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16%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-8.60%</w:t>
            </w:r>
          </w:p>
        </w:tc>
      </w:tr>
      <w:tr w:rsidR="00F03B72" w:rsidRPr="001F78EF" w:rsidTr="00006039">
        <w:trPr>
          <w:trHeight w:val="26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Real Estate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3%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3B72" w:rsidRPr="001F78EF" w:rsidRDefault="00F03B72" w:rsidP="00F0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78EF">
              <w:rPr>
                <w:rFonts w:ascii="Times New Roman" w:eastAsia="Times New Roman" w:hAnsi="Times New Roman" w:cs="Times New Roman"/>
                <w:bCs/>
                <w:color w:val="000000"/>
              </w:rPr>
              <w:t>-5.50%</w:t>
            </w:r>
          </w:p>
        </w:tc>
      </w:tr>
    </w:tbl>
    <w:p w:rsidR="00CF6E09" w:rsidRPr="001F78EF" w:rsidRDefault="00CF6E09" w:rsidP="00006039">
      <w:pPr>
        <w:spacing w:before="120" w:after="240"/>
        <w:jc w:val="center"/>
        <w:rPr>
          <w:rFonts w:ascii="Times New Roman" w:hAnsi="Times New Roman" w:cs="Times New Roman"/>
        </w:rPr>
      </w:pPr>
      <w:r w:rsidRPr="00D04AD2">
        <w:rPr>
          <w:rFonts w:ascii="Times New Roman" w:hAnsi="Times New Roman" w:cs="Times New Roman"/>
          <w:i/>
        </w:rPr>
        <w:t>Table 8.</w:t>
      </w:r>
      <w:r>
        <w:rPr>
          <w:rFonts w:ascii="Times New Roman" w:hAnsi="Times New Roman" w:cs="Times New Roman"/>
        </w:rPr>
        <w:t xml:space="preserve">  Job Forecast 2014-20</w:t>
      </w:r>
      <w:r w:rsidR="001F4F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 as the U.S. Department of Labor and Statistics.</w:t>
      </w:r>
    </w:p>
    <w:p w:rsidR="00620374" w:rsidRPr="00760975" w:rsidRDefault="008E5A15" w:rsidP="00451D4F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  <w:b/>
          <w:u w:val="single"/>
        </w:rPr>
      </w:pPr>
      <w:r w:rsidRPr="00760975">
        <w:rPr>
          <w:rFonts w:ascii="Times New Roman" w:eastAsia="Times New Roman" w:hAnsi="Times New Roman" w:cs="Times New Roman"/>
          <w:b/>
          <w:u w:val="single"/>
        </w:rPr>
        <w:t>Equity:</w:t>
      </w:r>
      <w:r w:rsidR="008B4D3D" w:rsidRPr="00760975">
        <w:rPr>
          <w:rFonts w:ascii="Times New Roman" w:eastAsia="Times New Roman" w:hAnsi="Times New Roman" w:cs="Times New Roman"/>
          <w:b/>
          <w:u w:val="single"/>
        </w:rPr>
        <w:tab/>
      </w:r>
    </w:p>
    <w:p w:rsidR="00CB49A0" w:rsidRDefault="00451D4F" w:rsidP="00451D4F">
      <w:pPr>
        <w:shd w:val="clear" w:color="auto" w:fill="FFFFFF"/>
        <w:spacing w:after="150" w:line="338" w:lineRule="atLeast"/>
        <w:rPr>
          <w:rFonts w:ascii="Times New Roman" w:eastAsia="Times New Roman" w:hAnsi="Times New Roman" w:cs="Times New Roman"/>
        </w:rPr>
      </w:pPr>
      <w:r w:rsidRPr="00F9110D">
        <w:rPr>
          <w:rFonts w:ascii="Times New Roman" w:eastAsia="Times New Roman" w:hAnsi="Times New Roman" w:cs="Times New Roman"/>
        </w:rPr>
        <w:tab/>
      </w:r>
      <w:r w:rsidR="00F9110D" w:rsidRPr="00F9110D">
        <w:rPr>
          <w:rFonts w:ascii="Times New Roman" w:eastAsia="Times New Roman" w:hAnsi="Times New Roman" w:cs="Times New Roman"/>
        </w:rPr>
        <w:t>Table 9.0 display</w:t>
      </w:r>
      <w:r w:rsidR="001F4F0D">
        <w:rPr>
          <w:rFonts w:ascii="Times New Roman" w:eastAsia="Times New Roman" w:hAnsi="Times New Roman" w:cs="Times New Roman"/>
        </w:rPr>
        <w:t>s</w:t>
      </w:r>
      <w:r w:rsidR="00F9110D" w:rsidRPr="00F9110D">
        <w:rPr>
          <w:rFonts w:ascii="Times New Roman" w:eastAsia="Times New Roman" w:hAnsi="Times New Roman" w:cs="Times New Roman"/>
        </w:rPr>
        <w:t xml:space="preserve"> the success rates and gaps</w:t>
      </w:r>
      <w:r w:rsidR="001F4F0D">
        <w:rPr>
          <w:rFonts w:ascii="Times New Roman" w:eastAsia="Times New Roman" w:hAnsi="Times New Roman" w:cs="Times New Roman"/>
        </w:rPr>
        <w:t xml:space="preserve"> in equity</w:t>
      </w:r>
      <w:r w:rsidR="00F9110D" w:rsidRPr="00F9110D">
        <w:rPr>
          <w:rFonts w:ascii="Times New Roman" w:eastAsia="Times New Roman" w:hAnsi="Times New Roman" w:cs="Times New Roman"/>
        </w:rPr>
        <w:t>.</w:t>
      </w:r>
      <w:r w:rsidR="00F9110D">
        <w:rPr>
          <w:rFonts w:ascii="Times New Roman" w:eastAsia="Times New Roman" w:hAnsi="Times New Roman" w:cs="Times New Roman"/>
        </w:rPr>
        <w:t xml:space="preserve"> </w:t>
      </w:r>
      <w:r w:rsidR="006307C3">
        <w:rPr>
          <w:rFonts w:ascii="Times New Roman" w:eastAsia="Times New Roman" w:hAnsi="Times New Roman" w:cs="Times New Roman"/>
        </w:rPr>
        <w:t xml:space="preserve">The </w:t>
      </w:r>
      <w:r w:rsidR="001F4F0D">
        <w:rPr>
          <w:rFonts w:ascii="Times New Roman" w:eastAsia="Times New Roman" w:hAnsi="Times New Roman" w:cs="Times New Roman"/>
        </w:rPr>
        <w:t>A</w:t>
      </w:r>
      <w:r w:rsidR="006307C3">
        <w:rPr>
          <w:rFonts w:ascii="Times New Roman" w:eastAsia="Times New Roman" w:hAnsi="Times New Roman" w:cs="Times New Roman"/>
        </w:rPr>
        <w:t xml:space="preserve">pplied </w:t>
      </w:r>
      <w:r w:rsidR="001F4F0D">
        <w:rPr>
          <w:rFonts w:ascii="Times New Roman" w:eastAsia="Times New Roman" w:hAnsi="Times New Roman" w:cs="Times New Roman"/>
        </w:rPr>
        <w:t>T</w:t>
      </w:r>
      <w:r w:rsidR="006307C3">
        <w:rPr>
          <w:rFonts w:ascii="Times New Roman" w:eastAsia="Times New Roman" w:hAnsi="Times New Roman" w:cs="Times New Roman"/>
        </w:rPr>
        <w:t>echnolog</w:t>
      </w:r>
      <w:r w:rsidR="001F4F0D">
        <w:rPr>
          <w:rFonts w:ascii="Times New Roman" w:eastAsia="Times New Roman" w:hAnsi="Times New Roman" w:cs="Times New Roman"/>
        </w:rPr>
        <w:t>y</w:t>
      </w:r>
      <w:r w:rsidR="006307C3">
        <w:rPr>
          <w:rFonts w:ascii="Times New Roman" w:eastAsia="Times New Roman" w:hAnsi="Times New Roman" w:cs="Times New Roman"/>
        </w:rPr>
        <w:t xml:space="preserve"> </w:t>
      </w:r>
      <w:r w:rsidR="001F4F0D">
        <w:rPr>
          <w:rFonts w:ascii="Times New Roman" w:eastAsia="Times New Roman" w:hAnsi="Times New Roman" w:cs="Times New Roman"/>
        </w:rPr>
        <w:t>P</w:t>
      </w:r>
      <w:r w:rsidR="006307C3">
        <w:rPr>
          <w:rFonts w:ascii="Times New Roman" w:eastAsia="Times New Roman" w:hAnsi="Times New Roman" w:cs="Times New Roman"/>
        </w:rPr>
        <w:t>rogram has the highest Targeted Group success rate with Automotive Technologies at 79%</w:t>
      </w:r>
      <w:r w:rsidR="001F4F0D">
        <w:rPr>
          <w:rFonts w:ascii="Times New Roman" w:eastAsia="Times New Roman" w:hAnsi="Times New Roman" w:cs="Times New Roman"/>
        </w:rPr>
        <w:t>,</w:t>
      </w:r>
      <w:r w:rsidR="006307C3">
        <w:rPr>
          <w:rFonts w:ascii="Times New Roman" w:eastAsia="Times New Roman" w:hAnsi="Times New Roman" w:cs="Times New Roman"/>
        </w:rPr>
        <w:t xml:space="preserve"> Manufacturing at 74%, and </w:t>
      </w:r>
      <w:r w:rsidR="006307C3" w:rsidRPr="006307C3">
        <w:rPr>
          <w:rFonts w:ascii="Times New Roman" w:eastAsia="Times New Roman" w:hAnsi="Times New Roman" w:cs="Times New Roman"/>
        </w:rPr>
        <w:t>CAD &amp; Digital Imagining</w:t>
      </w:r>
      <w:r w:rsidR="00167901">
        <w:rPr>
          <w:rFonts w:ascii="Times New Roman" w:eastAsia="Times New Roman" w:hAnsi="Times New Roman" w:cs="Times New Roman"/>
        </w:rPr>
        <w:t xml:space="preserve"> at 69%.  </w:t>
      </w:r>
      <w:r w:rsidR="00212A85">
        <w:rPr>
          <w:rFonts w:ascii="Times New Roman" w:eastAsia="Times New Roman" w:hAnsi="Times New Roman" w:cs="Times New Roman"/>
        </w:rPr>
        <w:t xml:space="preserve">Computer Science is at 60% with 1% improvement over 2013-2014. </w:t>
      </w:r>
      <w:r w:rsidR="00167901">
        <w:rPr>
          <w:rFonts w:ascii="Times New Roman" w:eastAsia="Times New Roman" w:hAnsi="Times New Roman" w:cs="Times New Roman"/>
        </w:rPr>
        <w:t xml:space="preserve">Although Accounting, Business, and Real </w:t>
      </w:r>
      <w:r w:rsidR="001F4F0D">
        <w:rPr>
          <w:rFonts w:ascii="Times New Roman" w:eastAsia="Times New Roman" w:hAnsi="Times New Roman" w:cs="Times New Roman"/>
        </w:rPr>
        <w:t>E</w:t>
      </w:r>
      <w:r w:rsidR="00167901">
        <w:rPr>
          <w:rFonts w:ascii="Times New Roman" w:eastAsia="Times New Roman" w:hAnsi="Times New Roman" w:cs="Times New Roman"/>
        </w:rPr>
        <w:t>state are under 60%, there has been a small percentage of improvement of one to two percent</w:t>
      </w:r>
      <w:r w:rsidR="00212A85">
        <w:rPr>
          <w:rFonts w:ascii="Times New Roman" w:eastAsia="Times New Roman" w:hAnsi="Times New Roman" w:cs="Times New Roman"/>
        </w:rPr>
        <w:t xml:space="preserve"> over 2013-2014</w:t>
      </w:r>
      <w:r w:rsidR="00167901">
        <w:rPr>
          <w:rFonts w:ascii="Times New Roman" w:eastAsia="Times New Roman" w:hAnsi="Times New Roman" w:cs="Times New Roman"/>
        </w:rPr>
        <w:t>.</w:t>
      </w:r>
      <w:r w:rsidR="00CB49A0">
        <w:rPr>
          <w:rFonts w:ascii="Times New Roman" w:eastAsia="Times New Roman" w:hAnsi="Times New Roman" w:cs="Times New Roman"/>
        </w:rPr>
        <w:t xml:space="preserve"> </w:t>
      </w:r>
      <w:r w:rsidR="00212A85">
        <w:rPr>
          <w:rFonts w:ascii="Times New Roman" w:eastAsia="Times New Roman" w:hAnsi="Times New Roman" w:cs="Times New Roman"/>
        </w:rPr>
        <w:t>The increase in the Targeted Group success rate</w:t>
      </w:r>
      <w:r w:rsidR="00CB49A0">
        <w:rPr>
          <w:rFonts w:ascii="Times New Roman" w:eastAsia="Times New Roman" w:hAnsi="Times New Roman" w:cs="Times New Roman"/>
        </w:rPr>
        <w:t xml:space="preserve"> is a step in the right direction.  The improvements a</w:t>
      </w:r>
      <w:r w:rsidR="001F4F0D">
        <w:rPr>
          <w:rFonts w:ascii="Times New Roman" w:eastAsia="Times New Roman" w:hAnsi="Times New Roman" w:cs="Times New Roman"/>
        </w:rPr>
        <w:t>r</w:t>
      </w:r>
      <w:r w:rsidR="00CB49A0">
        <w:rPr>
          <w:rFonts w:ascii="Times New Roman" w:eastAsia="Times New Roman" w:hAnsi="Times New Roman" w:cs="Times New Roman"/>
        </w:rPr>
        <w:t xml:space="preserve">e most likely a result of the Division’s </w:t>
      </w:r>
      <w:r w:rsidR="001F4F0D">
        <w:rPr>
          <w:rFonts w:ascii="Times New Roman" w:eastAsia="Times New Roman" w:hAnsi="Times New Roman" w:cs="Times New Roman"/>
        </w:rPr>
        <w:t>S</w:t>
      </w:r>
      <w:r w:rsidR="00CB49A0">
        <w:rPr>
          <w:rFonts w:ascii="Times New Roman" w:eastAsia="Times New Roman" w:hAnsi="Times New Roman" w:cs="Times New Roman"/>
        </w:rPr>
        <w:t xml:space="preserve">trategic </w:t>
      </w:r>
      <w:r w:rsidR="001F4F0D">
        <w:rPr>
          <w:rFonts w:ascii="Times New Roman" w:eastAsia="Times New Roman" w:hAnsi="Times New Roman" w:cs="Times New Roman"/>
        </w:rPr>
        <w:t>E</w:t>
      </w:r>
      <w:r w:rsidR="00CB49A0">
        <w:rPr>
          <w:rFonts w:ascii="Times New Roman" w:eastAsia="Times New Roman" w:hAnsi="Times New Roman" w:cs="Times New Roman"/>
        </w:rPr>
        <w:t xml:space="preserve">quity </w:t>
      </w:r>
      <w:proofErr w:type="gramStart"/>
      <w:r w:rsidR="001F4F0D">
        <w:rPr>
          <w:rFonts w:ascii="Times New Roman" w:eastAsia="Times New Roman" w:hAnsi="Times New Roman" w:cs="Times New Roman"/>
        </w:rPr>
        <w:t>P</w:t>
      </w:r>
      <w:r w:rsidR="00CB49A0">
        <w:rPr>
          <w:rFonts w:ascii="Times New Roman" w:eastAsia="Times New Roman" w:hAnsi="Times New Roman" w:cs="Times New Roman"/>
        </w:rPr>
        <w:t>lan which</w:t>
      </w:r>
      <w:proofErr w:type="gramEnd"/>
      <w:r w:rsidR="00CB49A0">
        <w:rPr>
          <w:rFonts w:ascii="Times New Roman" w:eastAsia="Times New Roman" w:hAnsi="Times New Roman" w:cs="Times New Roman"/>
        </w:rPr>
        <w:t xml:space="preserve"> includes:</w:t>
      </w:r>
    </w:p>
    <w:p w:rsidR="00451D4F" w:rsidRDefault="00CB49A0" w:rsidP="00CB49A0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publishers to reduce the cost of textbooks.</w:t>
      </w:r>
    </w:p>
    <w:p w:rsidR="00CB49A0" w:rsidRDefault="002312B7" w:rsidP="00CB49A0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</w:t>
      </w:r>
      <w:r w:rsidR="001F4F0D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ebooks</w:t>
      </w:r>
      <w:proofErr w:type="spellEnd"/>
      <w:r>
        <w:rPr>
          <w:rFonts w:ascii="Times New Roman" w:eastAsia="Times New Roman" w:hAnsi="Times New Roman" w:cs="Times New Roman"/>
        </w:rPr>
        <w:t xml:space="preserve"> and customized editions when available.</w:t>
      </w:r>
    </w:p>
    <w:p w:rsidR="002312B7" w:rsidRDefault="002312B7" w:rsidP="00CB49A0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Purchasing some textbooks (e.g. Business 10) and plac</w:t>
      </w:r>
      <w:r w:rsidR="00DE72F3">
        <w:rPr>
          <w:rFonts w:ascii="Times New Roman" w:eastAsia="Times New Roman" w:hAnsi="Times New Roman" w:cs="Times New Roman"/>
        </w:rPr>
        <w:t>ing them</w:t>
      </w:r>
      <w:r>
        <w:rPr>
          <w:rFonts w:ascii="Times New Roman" w:eastAsia="Times New Roman" w:hAnsi="Times New Roman" w:cs="Times New Roman"/>
        </w:rPr>
        <w:t xml:space="preserve"> on short term loans in the </w:t>
      </w:r>
      <w:r w:rsidR="00DE72F3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ibrary.</w:t>
      </w:r>
    </w:p>
    <w:p w:rsidR="002312B7" w:rsidRDefault="002312B7" w:rsidP="00CB49A0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Adjunct skills courses (.5 unit courses funded by the Tutoring </w:t>
      </w:r>
      <w:proofErr w:type="spellStart"/>
      <w:r>
        <w:rPr>
          <w:rFonts w:ascii="Times New Roman" w:eastAsia="Times New Roman" w:hAnsi="Times New Roman" w:cs="Times New Roman"/>
        </w:rPr>
        <w:t>Center</w:t>
      </w:r>
      <w:proofErr w:type="gramStart"/>
      <w:r w:rsidR="00603099">
        <w:rPr>
          <w:rFonts w:ascii="Times New Roman" w:eastAsia="Times New Roman" w:hAnsi="Times New Roman" w:cs="Times New Roman"/>
        </w:rPr>
        <w:t>,</w:t>
      </w:r>
      <w:r w:rsidR="00DF31A7">
        <w:rPr>
          <w:rFonts w:ascii="Times New Roman" w:eastAsia="Times New Roman" w:hAnsi="Times New Roman" w:cs="Times New Roman"/>
        </w:rPr>
        <w:t>Accounting</w:t>
      </w:r>
      <w:proofErr w:type="spellEnd"/>
      <w:proofErr w:type="gramEnd"/>
      <w:r w:rsidR="00DF31A7">
        <w:rPr>
          <w:rFonts w:ascii="Times New Roman" w:eastAsia="Times New Roman" w:hAnsi="Times New Roman" w:cs="Times New Roman"/>
        </w:rPr>
        <w:t xml:space="preserve"> and Business currently).</w:t>
      </w:r>
    </w:p>
    <w:p w:rsidR="00DF31A7" w:rsidRDefault="00DF31A7" w:rsidP="00CB49A0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Encouraging students to attend study skills workshops (</w:t>
      </w:r>
      <w:r w:rsidR="00DE72F3"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 xml:space="preserve">time management, test taking skills, </w:t>
      </w:r>
      <w:r w:rsidR="00DE72F3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earn</w:t>
      </w:r>
      <w:r w:rsidR="00DE72F3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extra credit).</w:t>
      </w:r>
    </w:p>
    <w:p w:rsidR="00711E85" w:rsidRDefault="00DF31A7" w:rsidP="00711E85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Sharing of best practices among the faculty.</w:t>
      </w:r>
    </w:p>
    <w:p w:rsidR="00711E85" w:rsidRPr="00711E85" w:rsidRDefault="00711E85" w:rsidP="00711E85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r w:rsidRPr="00711E85">
        <w:rPr>
          <w:rFonts w:ascii="Times New Roman" w:eastAsia="Times New Roman" w:hAnsi="Times New Roman" w:cs="Times New Roman"/>
        </w:rPr>
        <w:t>Teaching Assistants in the CIS Lab</w:t>
      </w:r>
      <w:r w:rsidR="00B93BD4">
        <w:rPr>
          <w:rFonts w:ascii="Times New Roman" w:eastAsia="Times New Roman" w:hAnsi="Times New Roman" w:cs="Times New Roman"/>
        </w:rPr>
        <w:t>.</w:t>
      </w:r>
    </w:p>
    <w:p w:rsidR="00711E85" w:rsidRPr="00711E85" w:rsidRDefault="00711E85" w:rsidP="00711E85">
      <w:pPr>
        <w:pStyle w:val="ListParagraph"/>
        <w:numPr>
          <w:ilvl w:val="0"/>
          <w:numId w:val="6"/>
        </w:numPr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  <w:proofErr w:type="spellStart"/>
      <w:r w:rsidRPr="00711E85">
        <w:rPr>
          <w:rFonts w:ascii="Times New Roman" w:eastAsia="Times New Roman" w:hAnsi="Times New Roman" w:cs="Times New Roman"/>
        </w:rPr>
        <w:t>CodeLab</w:t>
      </w:r>
      <w:proofErr w:type="spellEnd"/>
      <w:r w:rsidRPr="00711E85">
        <w:rPr>
          <w:rFonts w:ascii="Times New Roman" w:eastAsia="Times New Roman" w:hAnsi="Times New Roman" w:cs="Times New Roman"/>
        </w:rPr>
        <w:t xml:space="preserve"> Tutorial for CIS</w:t>
      </w:r>
      <w:r w:rsidR="00B93BD4">
        <w:rPr>
          <w:rFonts w:ascii="Times New Roman" w:eastAsia="Times New Roman" w:hAnsi="Times New Roman" w:cs="Times New Roman"/>
        </w:rPr>
        <w:t>.</w:t>
      </w:r>
    </w:p>
    <w:p w:rsidR="00711E85" w:rsidRPr="00CB49A0" w:rsidRDefault="00711E85" w:rsidP="00711E85">
      <w:pPr>
        <w:pStyle w:val="ListParagraph"/>
        <w:shd w:val="clear" w:color="auto" w:fill="FFFFFF"/>
        <w:spacing w:after="150" w:line="338" w:lineRule="atLeast"/>
        <w:ind w:left="1080"/>
        <w:rPr>
          <w:rFonts w:ascii="Times New Roman" w:eastAsia="Times New Roman" w:hAnsi="Times New Roman" w:cs="Times New Roman"/>
        </w:rPr>
      </w:pPr>
    </w:p>
    <w:tbl>
      <w:tblPr>
        <w:tblW w:w="8320" w:type="dxa"/>
        <w:jc w:val="center"/>
        <w:tblInd w:w="93" w:type="dxa"/>
        <w:tblLook w:val="04A0" w:firstRow="1" w:lastRow="0" w:firstColumn="1" w:lastColumn="0" w:noHBand="0" w:noVBand="1"/>
      </w:tblPr>
      <w:tblGrid>
        <w:gridCol w:w="2620"/>
        <w:gridCol w:w="1660"/>
        <w:gridCol w:w="1440"/>
        <w:gridCol w:w="1340"/>
        <w:gridCol w:w="1260"/>
      </w:tblGrid>
      <w:tr w:rsidR="00451D4F" w:rsidRPr="00451D4F" w:rsidTr="00CE7620">
        <w:trPr>
          <w:trHeight w:val="63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2014-2015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Accounting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Non-Targeted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78%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58%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Automotive Technologies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Non-Targeted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78%</w:t>
            </w:r>
          </w:p>
        </w:tc>
      </w:tr>
      <w:tr w:rsidR="00451D4F" w:rsidRPr="00451D4F" w:rsidTr="00CE7620">
        <w:trPr>
          <w:trHeight w:val="285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Business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69%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Non-Targeted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58%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Computer Information Systems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Non-Targeted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60%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 and Manufac</w:t>
            </w:r>
            <w:r w:rsidR="00DE72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uring </w:t>
            </w:r>
            <w:r w:rsidR="00DE72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echnologies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Non-Targeted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89%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CAD &amp; Digital Imagining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Non-Targeted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69%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Real Estate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69%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Non-Targeted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</w:tr>
      <w:tr w:rsidR="00451D4F" w:rsidRPr="00451D4F" w:rsidTr="00CE7620">
        <w:trPr>
          <w:trHeight w:val="300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Targeted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D4F" w:rsidRPr="00451D4F" w:rsidRDefault="00451D4F" w:rsidP="004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D4F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</w:tr>
    </w:tbl>
    <w:p w:rsidR="00CE7620" w:rsidRDefault="00451D4F" w:rsidP="00E208E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B0832" w:rsidRDefault="00451D4F" w:rsidP="00CE7620">
      <w:pPr>
        <w:jc w:val="center"/>
        <w:rPr>
          <w:rFonts w:ascii="Times New Roman" w:hAnsi="Times New Roman" w:cs="Times New Roman"/>
        </w:rPr>
        <w:sectPr w:rsidR="00BB0832" w:rsidSect="00E73E3A">
          <w:headerReference w:type="default" r:id="rId15"/>
          <w:footerReference w:type="default" r:id="rId16"/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  <w:r w:rsidRPr="00D04AD2">
        <w:rPr>
          <w:rFonts w:ascii="Times New Roman" w:hAnsi="Times New Roman" w:cs="Times New Roman"/>
          <w:i/>
        </w:rPr>
        <w:t>Table 9.</w:t>
      </w:r>
      <w:r>
        <w:rPr>
          <w:rFonts w:ascii="Times New Roman" w:hAnsi="Times New Roman" w:cs="Times New Roman"/>
        </w:rPr>
        <w:t xml:space="preserve"> Success Rates and Gaps</w:t>
      </w:r>
      <w:r w:rsidR="00DE72F3">
        <w:rPr>
          <w:rFonts w:ascii="Times New Roman" w:hAnsi="Times New Roman" w:cs="Times New Roman"/>
        </w:rPr>
        <w:t xml:space="preserve"> in Equity</w:t>
      </w:r>
    </w:p>
    <w:p w:rsidR="00760975" w:rsidRPr="00760975" w:rsidRDefault="00760975" w:rsidP="00507AFB">
      <w:pPr>
        <w:shd w:val="clear" w:color="auto" w:fill="FFFFFF"/>
        <w:spacing w:after="150" w:line="338" w:lineRule="atLeast"/>
        <w:ind w:left="360" w:right="-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Requested Budget</w:t>
      </w:r>
      <w:r w:rsidRPr="00760975">
        <w:rPr>
          <w:rFonts w:ascii="Times New Roman" w:eastAsia="Times New Roman" w:hAnsi="Times New Roman" w:cs="Times New Roman"/>
          <w:b/>
          <w:u w:val="single"/>
        </w:rPr>
        <w:t>:</w:t>
      </w:r>
      <w:r w:rsidRPr="00760975">
        <w:rPr>
          <w:rFonts w:ascii="Times New Roman" w:eastAsia="Times New Roman" w:hAnsi="Times New Roman" w:cs="Times New Roman"/>
          <w:b/>
          <w:u w:val="single"/>
        </w:rPr>
        <w:tab/>
      </w:r>
    </w:p>
    <w:p w:rsidR="00760975" w:rsidRDefault="00760975" w:rsidP="00507A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507AFB">
        <w:rPr>
          <w:rFonts w:ascii="Times New Roman" w:hAnsi="Times New Roman" w:cs="Times New Roman"/>
          <w:b/>
        </w:rPr>
        <w:t>Accounting, Business, CDI, Computer Science and Real Estate:</w:t>
      </w:r>
    </w:p>
    <w:p w:rsidR="00507AFB" w:rsidRDefault="00507AFB" w:rsidP="00507AFB">
      <w:pPr>
        <w:pStyle w:val="ListParagraph"/>
        <w:rPr>
          <w:rFonts w:ascii="Times New Roman" w:hAnsi="Times New Roman" w:cs="Times New Roman"/>
          <w:b/>
        </w:rPr>
      </w:pPr>
    </w:p>
    <w:p w:rsidR="00507AFB" w:rsidRPr="00A61CDB" w:rsidRDefault="00507AFB" w:rsidP="00594A34">
      <w:pPr>
        <w:pStyle w:val="ListParagraph"/>
        <w:ind w:left="360" w:firstLine="720"/>
        <w:rPr>
          <w:rFonts w:ascii="Times New Roman" w:hAnsi="Times New Roman" w:cs="Times New Roman"/>
        </w:rPr>
      </w:pPr>
      <w:r w:rsidRPr="00A61CDB">
        <w:rPr>
          <w:rFonts w:ascii="Times New Roman" w:hAnsi="Times New Roman" w:cs="Times New Roman"/>
        </w:rPr>
        <w:t>Table 10.</w:t>
      </w:r>
      <w:r w:rsidR="00594A34" w:rsidRPr="00A61CDB">
        <w:rPr>
          <w:rFonts w:ascii="Times New Roman" w:hAnsi="Times New Roman" w:cs="Times New Roman"/>
        </w:rPr>
        <w:t>0</w:t>
      </w:r>
      <w:r w:rsidRPr="00A61CDB">
        <w:rPr>
          <w:rFonts w:ascii="Times New Roman" w:hAnsi="Times New Roman" w:cs="Times New Roman"/>
        </w:rPr>
        <w:t xml:space="preserve"> shows the requested budget for Accounting, </w:t>
      </w:r>
      <w:r w:rsidR="00594A34" w:rsidRPr="00A61CDB">
        <w:rPr>
          <w:rFonts w:ascii="Times New Roman" w:hAnsi="Times New Roman" w:cs="Times New Roman"/>
        </w:rPr>
        <w:t xml:space="preserve">Computer Science, and Real Estate.  </w:t>
      </w:r>
      <w:proofErr w:type="gramStart"/>
      <w:r w:rsidR="00594A34" w:rsidRPr="00A61CDB">
        <w:rPr>
          <w:rFonts w:ascii="Times New Roman" w:hAnsi="Times New Roman" w:cs="Times New Roman"/>
        </w:rPr>
        <w:t>A total of $282,070.66 has been requested by the four departments</w:t>
      </w:r>
      <w:proofErr w:type="gramEnd"/>
      <w:r w:rsidR="00A61CDB">
        <w:rPr>
          <w:rFonts w:ascii="Times New Roman" w:hAnsi="Times New Roman" w:cs="Times New Roman"/>
        </w:rPr>
        <w:t>.  For details, refer to each program annual program review.</w:t>
      </w:r>
    </w:p>
    <w:tbl>
      <w:tblPr>
        <w:tblW w:w="1377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080"/>
        <w:gridCol w:w="607"/>
        <w:gridCol w:w="890"/>
        <w:gridCol w:w="4357"/>
        <w:gridCol w:w="1339"/>
        <w:gridCol w:w="1210"/>
        <w:gridCol w:w="748"/>
        <w:gridCol w:w="1289"/>
        <w:gridCol w:w="1350"/>
        <w:gridCol w:w="900"/>
      </w:tblGrid>
      <w:tr w:rsidR="000D4B33" w:rsidRPr="00507AFB" w:rsidTr="00507AFB">
        <w:trPr>
          <w:trHeight w:val="9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Dean's Ranking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Dept</w:t>
            </w:r>
            <w:proofErr w:type="spellEnd"/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Ranking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proofErr w:type="gramStart"/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Item</w:t>
            </w: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please remember, the per item value must be over $100)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Life Expectancy </w:t>
            </w:r>
            <w:proofErr w:type="gramStart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of  item</w:t>
            </w:r>
            <w:proofErr w:type="gramEnd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(years)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Per Item Cost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How Many?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Estimated </w:t>
            </w:r>
            <w:proofErr w:type="gramStart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Cost  </w:t>
            </w:r>
            <w:proofErr w:type="spellStart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inc</w:t>
            </w:r>
            <w:proofErr w:type="gramEnd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.</w:t>
            </w:r>
            <w:proofErr w:type="spellEnd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tax</w:t>
            </w:r>
            <w:proofErr w:type="gramEnd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and shipping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Total Cost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Funding</w:t>
            </w:r>
          </w:p>
        </w:tc>
      </w:tr>
      <w:tr w:rsidR="000D4B33" w:rsidRPr="00507AFB" w:rsidTr="00507AFB">
        <w:trPr>
          <w:trHeight w:val="3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Accounting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Software for </w:t>
            </w:r>
            <w:proofErr w:type="spellStart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Quickbooks</w:t>
            </w:r>
            <w:proofErr w:type="spellEnd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and Peachtree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750.00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1,631.25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1,631.25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Lottery</w:t>
            </w:r>
          </w:p>
        </w:tc>
      </w:tr>
      <w:tr w:rsidR="000D4B33" w:rsidRPr="00507AFB" w:rsidTr="00507AFB">
        <w:trPr>
          <w:trHeight w:val="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proofErr w:type="spellStart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CodeLab</w:t>
            </w:r>
            <w:proofErr w:type="spellEnd"/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Annual License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12,500.00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27,187.50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27,187.50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Lottery</w:t>
            </w:r>
          </w:p>
        </w:tc>
      </w:tr>
      <w:tr w:rsidR="000D4B33" w:rsidRPr="00507AFB" w:rsidTr="00507AFB">
        <w:trPr>
          <w:trHeight w:val="8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A Mac classroom equipped with a Mac computer for each student to use (evening would work)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Same as any classroom with computers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2,000.00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98,875.00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98,875.00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4B33" w:rsidRPr="00507AFB" w:rsidTr="00507AFB">
        <w:trPr>
          <w:trHeight w:val="7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Business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Hire a programmer to turn Byron Lilly's Custom Homework Builder into something everyone in our division could use.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10,000.00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4B33" w:rsidRPr="00507AFB" w:rsidTr="00507AFB">
        <w:trPr>
          <w:trHeight w:val="4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Business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Purchase a site license for a business simulation game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15,000.00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15,000.00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Lottery</w:t>
            </w:r>
          </w:p>
        </w:tc>
      </w:tr>
      <w:tr w:rsidR="000D4B33" w:rsidRPr="00507AFB" w:rsidTr="00507AFB">
        <w:trPr>
          <w:trHeight w:val="3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Accounting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Simulation Software Acct 1C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  53.99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10,798.00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10,798.00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Lottery</w:t>
            </w:r>
          </w:p>
        </w:tc>
      </w:tr>
      <w:tr w:rsidR="000D4B33" w:rsidRPr="00507AFB" w:rsidTr="00507AFB">
        <w:trPr>
          <w:trHeight w:val="3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More electrical outlets are needed in the lab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10 years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125.00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14,875.00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14,875.00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4B33" w:rsidRPr="00507AFB" w:rsidTr="00507AFB">
        <w:trPr>
          <w:trHeight w:val="7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Two more smart classrooms between the hours of 6:00 - 8:00 pm; one more classroom during the daytime (9:30 - 5:20 pm).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Same as any classroom with computers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5,000.00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10,875.00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10,875.00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4B33" w:rsidRPr="00507AFB" w:rsidTr="00507AFB">
        <w:trPr>
          <w:trHeight w:val="3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Accounting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White Boards in L-81 and 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750.00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1,731.25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1,731.25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4B33" w:rsidRPr="00507AFB" w:rsidTr="00507AFB">
        <w:trPr>
          <w:trHeight w:val="9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Each Full-time CIS Faculty member's office desktop computer needs parallel software to software on computers in AT 203 and in the classrooms. Office computers need direct access to AT 203 server.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No time limit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ETS Labor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ETS Labor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ETS Labor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40" w:rsidRPr="00165640" w:rsidRDefault="00165640" w:rsidP="0016564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6564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C7F84" w:rsidRDefault="001C7F84" w:rsidP="00E208EB">
      <w:pPr>
        <w:spacing w:after="120" w:line="240" w:lineRule="auto"/>
        <w:jc w:val="center"/>
        <w:rPr>
          <w:rFonts w:ascii="Arial Narrow" w:hAnsi="Arial Narrow" w:cs="Times New Roman"/>
          <w:sz w:val="16"/>
          <w:szCs w:val="16"/>
        </w:rPr>
      </w:pPr>
    </w:p>
    <w:p w:rsidR="00594A34" w:rsidRPr="00594A34" w:rsidRDefault="00594A34" w:rsidP="00E208E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D04AD2">
        <w:rPr>
          <w:rFonts w:ascii="Times New Roman" w:hAnsi="Times New Roman" w:cs="Times New Roman"/>
          <w:i/>
        </w:rPr>
        <w:t>Table 10.</w:t>
      </w:r>
      <w:r w:rsidRPr="00594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94A34">
        <w:rPr>
          <w:rFonts w:ascii="Times New Roman" w:hAnsi="Times New Roman" w:cs="Times New Roman"/>
        </w:rPr>
        <w:t xml:space="preserve">equested </w:t>
      </w:r>
      <w:r>
        <w:rPr>
          <w:rFonts w:ascii="Times New Roman" w:hAnsi="Times New Roman" w:cs="Times New Roman"/>
        </w:rPr>
        <w:t>B</w:t>
      </w:r>
      <w:r w:rsidRPr="00594A34">
        <w:rPr>
          <w:rFonts w:ascii="Times New Roman" w:hAnsi="Times New Roman" w:cs="Times New Roman"/>
        </w:rPr>
        <w:t>udget for Accounting, Computer Science, and Real Estate</w:t>
      </w:r>
    </w:p>
    <w:p w:rsidR="001C7F84" w:rsidRPr="00507AFB" w:rsidRDefault="001C7F84">
      <w:pPr>
        <w:rPr>
          <w:rFonts w:ascii="Arial Narrow" w:hAnsi="Arial Narrow" w:cs="Times New Roman"/>
          <w:sz w:val="16"/>
          <w:szCs w:val="16"/>
        </w:rPr>
      </w:pPr>
    </w:p>
    <w:p w:rsidR="001C7F84" w:rsidRPr="00594A34" w:rsidRDefault="00594A34">
      <w:pPr>
        <w:rPr>
          <w:rFonts w:ascii="Times New Roman" w:hAnsi="Times New Roman" w:cs="Times New Roman"/>
        </w:rPr>
      </w:pPr>
      <w:r w:rsidRPr="00834C2B">
        <w:rPr>
          <w:rFonts w:ascii="Times New Roman" w:hAnsi="Times New Roman" w:cs="Times New Roman"/>
          <w:i/>
        </w:rPr>
        <w:lastRenderedPageBreak/>
        <w:t>Table 10.</w:t>
      </w:r>
      <w:r>
        <w:rPr>
          <w:rFonts w:ascii="Times New Roman" w:hAnsi="Times New Roman" w:cs="Times New Roman"/>
        </w:rPr>
        <w:t xml:space="preserve"> </w:t>
      </w:r>
      <w:r w:rsidRPr="00594A34">
        <w:rPr>
          <w:rFonts w:ascii="Times New Roman" w:hAnsi="Times New Roman" w:cs="Times New Roman"/>
        </w:rPr>
        <w:t>Continue…</w:t>
      </w:r>
    </w:p>
    <w:tbl>
      <w:tblPr>
        <w:tblW w:w="14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900"/>
        <w:gridCol w:w="900"/>
        <w:gridCol w:w="4410"/>
        <w:gridCol w:w="1350"/>
        <w:gridCol w:w="1350"/>
        <w:gridCol w:w="720"/>
        <w:gridCol w:w="1440"/>
        <w:gridCol w:w="1440"/>
        <w:gridCol w:w="1080"/>
      </w:tblGrid>
      <w:tr w:rsidR="001757DE" w:rsidRPr="00507AFB" w:rsidTr="001757DE">
        <w:trPr>
          <w:trHeight w:val="96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Dean's Ranking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Dept</w:t>
            </w:r>
            <w:proofErr w:type="spellEnd"/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Ranking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proofErr w:type="gramStart"/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Item</w:t>
            </w: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please remember, the per item value must be over $100)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Life Expectancy </w:t>
            </w:r>
            <w:proofErr w:type="gram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of  item</w:t>
            </w:r>
            <w:proofErr w:type="gramEnd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(years)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Per Item Cost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How Many?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Estimated </w:t>
            </w:r>
            <w:proofErr w:type="gram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Cost  </w:t>
            </w:r>
            <w:proofErr w:type="spell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inc</w:t>
            </w:r>
            <w:proofErr w:type="gramEnd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.</w:t>
            </w:r>
            <w:proofErr w:type="spellEnd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tax</w:t>
            </w:r>
            <w:proofErr w:type="gramEnd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and shipping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Total Cost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Funding</w:t>
            </w:r>
          </w:p>
        </w:tc>
      </w:tr>
      <w:tr w:rsidR="001757DE" w:rsidRPr="00507AFB" w:rsidTr="001757DE">
        <w:trPr>
          <w:trHeight w:val="7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Re-design for AT 205 (This could be accomplished by smaller desks and/or chairs with smaller </w:t>
            </w:r>
            <w:proofErr w:type="spell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footptint</w:t>
            </w:r>
            <w:proofErr w:type="spellEnd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10 years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243.00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10,670.50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10,670.50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7DE" w:rsidRPr="00507AFB" w:rsidTr="001757DE">
        <w:trPr>
          <w:trHeight w:val="48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proofErr w:type="spell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PolyCom</w:t>
            </w:r>
            <w:proofErr w:type="spellEnd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phone to allow dial-in access to the meetings in AT 203F.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232.95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  278.33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  278.33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7DE" w:rsidRPr="00507AFB" w:rsidTr="001757DE">
        <w:trPr>
          <w:trHeight w:val="48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Lab 203 is too dark especially in the corner by the door from the lab to room 205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10 years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429.00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7,198.06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7,198.06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7DE" w:rsidRPr="00507AFB" w:rsidTr="001757DE">
        <w:trPr>
          <w:trHeight w:val="25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Computer in AT 203F cloned as computers in lab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1,200.00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2,610.00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2,610.00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7DE" w:rsidRPr="00507AFB" w:rsidTr="001757DE">
        <w:trPr>
          <w:trHeight w:val="25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Smart boards for the classrooms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3,999.00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35,791.30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35,791.30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7DE" w:rsidRPr="00507AFB" w:rsidTr="001757DE">
        <w:trPr>
          <w:trHeight w:val="25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A second overhead projector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3,628.00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16,781.80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16,781.80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7DE" w:rsidRPr="00507AFB" w:rsidTr="001757DE">
        <w:trPr>
          <w:trHeight w:val="96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Noise level abatement in AT 203 such as partitions, i.e. higher partition than now exits) http://www.globalindustrial.com/g/office/partitions/panels/global-office-partition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Same as current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 124.95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3,717.66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  3,717.66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7DE" w:rsidRPr="00507AFB" w:rsidTr="001757DE">
        <w:trPr>
          <w:trHeight w:val="96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CIS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Each FT CIS Faculty member needs a laptop in addition to a desktop. The laptop needs software in parallel to software used by students in lab and classrooms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1,200.00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14,050.00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$        14,050.00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84" w:rsidRPr="001C7F84" w:rsidRDefault="001C7F84" w:rsidP="001C7F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C7F8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94A34" w:rsidRDefault="00594A34" w:rsidP="00E208EB">
      <w:pPr>
        <w:spacing w:after="120" w:line="240" w:lineRule="auto"/>
        <w:rPr>
          <w:rFonts w:ascii="Times New Roman" w:hAnsi="Times New Roman" w:cs="Times New Roman"/>
        </w:rPr>
      </w:pPr>
    </w:p>
    <w:p w:rsidR="00594A34" w:rsidRPr="00594A34" w:rsidRDefault="00594A34" w:rsidP="00594A34">
      <w:pPr>
        <w:jc w:val="center"/>
        <w:rPr>
          <w:rFonts w:ascii="Times New Roman" w:hAnsi="Times New Roman" w:cs="Times New Roman"/>
        </w:rPr>
      </w:pPr>
      <w:r w:rsidRPr="00D04AD2">
        <w:rPr>
          <w:rFonts w:ascii="Times New Roman" w:hAnsi="Times New Roman" w:cs="Times New Roman"/>
          <w:i/>
        </w:rPr>
        <w:t>Table 10.</w:t>
      </w:r>
      <w:r w:rsidRPr="00594A34">
        <w:rPr>
          <w:rFonts w:ascii="Times New Roman" w:hAnsi="Times New Roman" w:cs="Times New Roman"/>
        </w:rPr>
        <w:t xml:space="preserve"> </w:t>
      </w:r>
      <w:r w:rsidR="00D04AD2">
        <w:rPr>
          <w:rFonts w:ascii="Times New Roman" w:hAnsi="Times New Roman" w:cs="Times New Roman"/>
        </w:rPr>
        <w:t>Continue …</w:t>
      </w:r>
    </w:p>
    <w:p w:rsidR="00594A34" w:rsidRDefault="00594A34">
      <w:pPr>
        <w:rPr>
          <w:rFonts w:ascii="Times New Roman" w:hAnsi="Times New Roman" w:cs="Times New Roman"/>
        </w:rPr>
      </w:pPr>
    </w:p>
    <w:p w:rsidR="00905C59" w:rsidRDefault="0090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7620" w:rsidRDefault="00CE7620" w:rsidP="00CE7620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1F78EF">
        <w:rPr>
          <w:rFonts w:ascii="Times New Roman" w:hAnsi="Times New Roman" w:cs="Times New Roman"/>
          <w:b/>
        </w:rPr>
        <w:lastRenderedPageBreak/>
        <w:t>Automotive Technologies and Design and Manufacturing Technologies:</w:t>
      </w:r>
    </w:p>
    <w:p w:rsidR="00CE7620" w:rsidRPr="00682A96" w:rsidRDefault="00CE7620" w:rsidP="00CE7620">
      <w:pPr>
        <w:pStyle w:val="ListParagraph"/>
        <w:numPr>
          <w:ilvl w:val="0"/>
          <w:numId w:val="10"/>
        </w:numPr>
        <w:spacing w:after="0" w:line="360" w:lineRule="auto"/>
        <w:ind w:hanging="360"/>
        <w:rPr>
          <w:rFonts w:ascii="Times New Roman" w:hAnsi="Times New Roman" w:cs="Times New Roman"/>
          <w:b/>
          <w:i/>
        </w:rPr>
      </w:pPr>
      <w:r w:rsidRPr="00682A96">
        <w:rPr>
          <w:rFonts w:ascii="Times New Roman" w:hAnsi="Times New Roman" w:cs="Times New Roman"/>
          <w:b/>
          <w:i/>
        </w:rPr>
        <w:t>Design and Manufacturing Department</w:t>
      </w:r>
    </w:p>
    <w:p w:rsidR="00682A96" w:rsidRPr="00682A96" w:rsidRDefault="00682A96" w:rsidP="00E208EB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682A96">
        <w:rPr>
          <w:rFonts w:ascii="Times New Roman" w:hAnsi="Times New Roman" w:cs="Times New Roman"/>
        </w:rPr>
        <w:t>Table 11.0 shows the requested budget for the Design and Manufacturing Department.</w:t>
      </w:r>
      <w:r w:rsidR="00A61CDB">
        <w:rPr>
          <w:rFonts w:ascii="Times New Roman" w:hAnsi="Times New Roman" w:cs="Times New Roman"/>
        </w:rPr>
        <w:t xml:space="preserve"> For additional details, please refer to the department annual </w:t>
      </w:r>
      <w:r w:rsidR="00E208EB">
        <w:rPr>
          <w:rFonts w:ascii="Times New Roman" w:hAnsi="Times New Roman" w:cs="Times New Roman"/>
        </w:rPr>
        <w:t xml:space="preserve">program </w:t>
      </w:r>
      <w:r w:rsidR="00A61CDB">
        <w:rPr>
          <w:rFonts w:ascii="Times New Roman" w:hAnsi="Times New Roman" w:cs="Times New Roman"/>
        </w:rPr>
        <w:t>review report.</w:t>
      </w:r>
    </w:p>
    <w:p w:rsidR="00BB0832" w:rsidRDefault="00BB0832" w:rsidP="00F9110D">
      <w:pPr>
        <w:jc w:val="center"/>
        <w:rPr>
          <w:rFonts w:ascii="Times New Roman" w:hAnsi="Times New Roman" w:cs="Times New Roman"/>
        </w:rPr>
      </w:pPr>
    </w:p>
    <w:tbl>
      <w:tblPr>
        <w:tblW w:w="11625" w:type="dxa"/>
        <w:jc w:val="center"/>
        <w:tblInd w:w="93" w:type="dxa"/>
        <w:tblLook w:val="04A0" w:firstRow="1" w:lastRow="0" w:firstColumn="1" w:lastColumn="0" w:noHBand="0" w:noVBand="1"/>
      </w:tblPr>
      <w:tblGrid>
        <w:gridCol w:w="740"/>
        <w:gridCol w:w="3720"/>
        <w:gridCol w:w="1037"/>
        <w:gridCol w:w="1480"/>
        <w:gridCol w:w="148"/>
        <w:gridCol w:w="572"/>
        <w:gridCol w:w="418"/>
        <w:gridCol w:w="1620"/>
        <w:gridCol w:w="1890"/>
      </w:tblGrid>
      <w:tr w:rsidR="00227804" w:rsidRPr="00227804" w:rsidTr="00227804">
        <w:trPr>
          <w:trHeight w:val="1080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Item(</w:t>
            </w:r>
            <w:proofErr w:type="gramEnd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please remember, the per item value must be over $100)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Life Expectancy </w:t>
            </w:r>
            <w:proofErr w:type="gramStart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of  item</w:t>
            </w:r>
            <w:proofErr w:type="gramEnd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(years)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Per Item Cost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How Many?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Estimated </w:t>
            </w:r>
            <w:proofErr w:type="gramStart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Cost  </w:t>
            </w:r>
            <w:proofErr w:type="spellStart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inc</w:t>
            </w:r>
            <w:proofErr w:type="gramEnd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</w:t>
            </w:r>
            <w:proofErr w:type="spellEnd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tax</w:t>
            </w:r>
            <w:proofErr w:type="gramEnd"/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and shipping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HAAS VF2 SS 4/5 axis capabilities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95,328.00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103,500.00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207,000.00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HAAS SL20 Y Axis live Tooling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93,995.00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102,000.00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204,000.00 </w:t>
            </w:r>
          </w:p>
        </w:tc>
      </w:tr>
      <w:tr w:rsidR="00227804" w:rsidRPr="00227804" w:rsidTr="00227804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HAAS UMC 750 SS 5 axis machine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186,500.00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205,818.00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205,818.00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14" Engine Lathes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23,000.00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26,000.00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78,000.00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Vertical Manual Milling Machines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15,000.00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18,500.00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55,500.00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Surface Grinder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19,000.00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23,000.00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23,000.00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$              773,318.00 </w:t>
            </w:r>
          </w:p>
        </w:tc>
      </w:tr>
      <w:tr w:rsidR="00227804" w:rsidRPr="00227804" w:rsidTr="00227804">
        <w:trPr>
          <w:trHeight w:val="54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SOFTWARE FOR EXSISTING PROGRAM NEEDED TO RUN CLASSES (HAS BEEN PAID FOR BY LOTTERY).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Mastecam</w:t>
            </w:r>
            <w:proofErr w:type="spellEnd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annual update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2,400.00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2,400.00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2,400.00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NIMS National Certification annual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5,000.00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5,000.00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5,000.00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Vericut</w:t>
            </w:r>
            <w:proofErr w:type="spellEnd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Simulation annual update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1,000.00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1,000.00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1,000.00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SilidWorks</w:t>
            </w:r>
            <w:proofErr w:type="spellEnd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CAD annual update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3,000.00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3,000.00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3,000.00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NX (both cad and cam</w:t>
            </w:r>
            <w:proofErr w:type="gramStart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 annual</w:t>
            </w:r>
            <w:proofErr w:type="gramEnd"/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update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3,720.00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3,720.00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3,720.00 </w:t>
            </w:r>
          </w:p>
        </w:tc>
      </w:tr>
      <w:tr w:rsidR="00227804" w:rsidRPr="00227804" w:rsidTr="00227804">
        <w:trPr>
          <w:trHeight w:val="342"/>
          <w:jc w:val="center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4" w:rsidRPr="00227804" w:rsidRDefault="00227804" w:rsidP="002278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22780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$               15,120.00 </w:t>
            </w:r>
          </w:p>
        </w:tc>
      </w:tr>
    </w:tbl>
    <w:p w:rsidR="00227804" w:rsidRDefault="00227804" w:rsidP="00E208EB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701713" w:rsidRDefault="0015527B" w:rsidP="00F9110D">
      <w:pPr>
        <w:jc w:val="center"/>
        <w:rPr>
          <w:rFonts w:ascii="Times New Roman" w:hAnsi="Times New Roman" w:cs="Times New Roman"/>
        </w:rPr>
      </w:pPr>
      <w:r w:rsidRPr="00D04AD2">
        <w:rPr>
          <w:rFonts w:ascii="Times New Roman" w:hAnsi="Times New Roman" w:cs="Times New Roman"/>
          <w:i/>
        </w:rPr>
        <w:t>Table 11.</w:t>
      </w:r>
      <w:r>
        <w:rPr>
          <w:rFonts w:ascii="Times New Roman" w:hAnsi="Times New Roman" w:cs="Times New Roman"/>
        </w:rPr>
        <w:t xml:space="preserve"> Requested Budget for the Design and Manufacturing Department</w:t>
      </w:r>
    </w:p>
    <w:p w:rsidR="00701713" w:rsidRPr="00701713" w:rsidRDefault="00B9101C" w:rsidP="00701713">
      <w:pPr>
        <w:pStyle w:val="ListParagraph"/>
        <w:numPr>
          <w:ilvl w:val="0"/>
          <w:numId w:val="10"/>
        </w:numPr>
        <w:spacing w:after="0" w:line="360" w:lineRule="auto"/>
        <w:ind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Automotive Technologies </w:t>
      </w:r>
      <w:r w:rsidR="00701713" w:rsidRPr="00701713">
        <w:rPr>
          <w:rFonts w:ascii="Times New Roman" w:hAnsi="Times New Roman" w:cs="Times New Roman"/>
          <w:b/>
          <w:i/>
        </w:rPr>
        <w:t>Department</w:t>
      </w:r>
    </w:p>
    <w:p w:rsidR="00E208EB" w:rsidRPr="00682A96" w:rsidRDefault="00701713" w:rsidP="00E208EB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682A96">
        <w:rPr>
          <w:rFonts w:ascii="Times New Roman" w:hAnsi="Times New Roman" w:cs="Times New Roman"/>
        </w:rPr>
        <w:t>Table 1</w:t>
      </w:r>
      <w:r>
        <w:rPr>
          <w:rFonts w:ascii="Times New Roman" w:hAnsi="Times New Roman" w:cs="Times New Roman"/>
        </w:rPr>
        <w:t>2</w:t>
      </w:r>
      <w:r w:rsidRPr="00682A96">
        <w:rPr>
          <w:rFonts w:ascii="Times New Roman" w:hAnsi="Times New Roman" w:cs="Times New Roman"/>
        </w:rPr>
        <w:t xml:space="preserve">.0 shows the requested budget for </w:t>
      </w:r>
      <w:r w:rsidR="00B9101C">
        <w:rPr>
          <w:rFonts w:ascii="Times New Roman" w:hAnsi="Times New Roman" w:cs="Times New Roman"/>
        </w:rPr>
        <w:t>the Automotive Technologies Department</w:t>
      </w:r>
      <w:r w:rsidR="00E208EB">
        <w:rPr>
          <w:rFonts w:ascii="Times New Roman" w:hAnsi="Times New Roman" w:cs="Times New Roman"/>
        </w:rPr>
        <w:t>. For additional details, please refer to the department annual program review report.</w:t>
      </w:r>
    </w:p>
    <w:p w:rsidR="00701713" w:rsidRPr="00682A96" w:rsidRDefault="00701713" w:rsidP="00701713">
      <w:pPr>
        <w:spacing w:after="0" w:line="360" w:lineRule="auto"/>
        <w:ind w:left="1800"/>
        <w:rPr>
          <w:rFonts w:ascii="Times New Roman" w:hAnsi="Times New Roman" w:cs="Times New Roman"/>
        </w:rPr>
      </w:pPr>
    </w:p>
    <w:p w:rsidR="00701713" w:rsidRDefault="00701713">
      <w:pPr>
        <w:rPr>
          <w:rFonts w:ascii="Times New Roman" w:hAnsi="Times New Roman" w:cs="Times New Roman"/>
        </w:rPr>
      </w:pPr>
    </w:p>
    <w:p w:rsidR="00701713" w:rsidRDefault="0070171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794"/>
        <w:tblW w:w="11514" w:type="dxa"/>
        <w:tblLook w:val="04A0" w:firstRow="1" w:lastRow="0" w:firstColumn="1" w:lastColumn="0" w:noHBand="0" w:noVBand="1"/>
      </w:tblPr>
      <w:tblGrid>
        <w:gridCol w:w="733"/>
        <w:gridCol w:w="3651"/>
        <w:gridCol w:w="1037"/>
        <w:gridCol w:w="1678"/>
        <w:gridCol w:w="696"/>
        <w:gridCol w:w="1888"/>
        <w:gridCol w:w="1831"/>
      </w:tblGrid>
      <w:tr w:rsidR="00701713" w:rsidRPr="003E5155" w:rsidTr="00A61CDB">
        <w:trPr>
          <w:trHeight w:val="10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Item(</w:t>
            </w:r>
            <w:proofErr w:type="gramEnd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please remember, the per item value must be over $100)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Life Expectancy </w:t>
            </w:r>
            <w:proofErr w:type="gramStart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of  item</w:t>
            </w:r>
            <w:proofErr w:type="gramEnd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(years)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Per Item Cost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How Many?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Estimated </w:t>
            </w:r>
            <w:proofErr w:type="gramStart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Cost  </w:t>
            </w:r>
            <w:proofErr w:type="spellStart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inc</w:t>
            </w:r>
            <w:proofErr w:type="gramEnd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</w:t>
            </w:r>
            <w:proofErr w:type="spellEnd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tax</w:t>
            </w:r>
            <w:proofErr w:type="gramEnd"/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and shipping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="00701713" w:rsidRPr="003E5155" w:rsidTr="00A61CDB">
        <w:trPr>
          <w:trHeight w:val="34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New transmission dynamometer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106,000.00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106,000.00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106,000.00 </w:t>
            </w:r>
          </w:p>
        </w:tc>
      </w:tr>
      <w:tr w:rsidR="00701713" w:rsidRPr="003E5155" w:rsidTr="00A61CDB">
        <w:trPr>
          <w:trHeight w:val="34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A new flush mount alignment rack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45,000.00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45,000.00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45,000.00 </w:t>
            </w:r>
          </w:p>
        </w:tc>
      </w:tr>
      <w:tr w:rsidR="00701713" w:rsidRPr="003E5155" w:rsidTr="00A61CDB">
        <w:trPr>
          <w:trHeight w:val="5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New 5 gas emissions analyzers.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4,999.00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19,996.00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19,996.00 </w:t>
            </w:r>
          </w:p>
        </w:tc>
      </w:tr>
      <w:tr w:rsidR="00701713" w:rsidRPr="003E5155" w:rsidTr="00A61CDB">
        <w:trPr>
          <w:trHeight w:val="2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Rottler</w:t>
            </w:r>
            <w:proofErr w:type="spellEnd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F9A CNC Boring Machine for </w:t>
            </w:r>
            <w:proofErr w:type="spellStart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sleeving</w:t>
            </w:r>
            <w:proofErr w:type="spellEnd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and boring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38,500.00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38,500.00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38,500.00 </w:t>
            </w:r>
          </w:p>
        </w:tc>
      </w:tr>
      <w:tr w:rsidR="00701713" w:rsidRPr="003E5155" w:rsidTr="00A61CDB">
        <w:trPr>
          <w:trHeight w:val="2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Rottler</w:t>
            </w:r>
            <w:proofErr w:type="spellEnd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HP7A </w:t>
            </w:r>
            <w:proofErr w:type="spellStart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Automatice</w:t>
            </w:r>
            <w:proofErr w:type="spellEnd"/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Cylinder Hone for new materials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30,000.00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30,000.00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30,000.00 </w:t>
            </w:r>
          </w:p>
        </w:tc>
      </w:tr>
      <w:tr w:rsidR="00701713" w:rsidRPr="003E5155" w:rsidTr="00A61CDB">
        <w:trPr>
          <w:trHeight w:val="2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New low amp current probes.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 125.00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1,250.00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1,250.00 </w:t>
            </w:r>
          </w:p>
        </w:tc>
      </w:tr>
      <w:tr w:rsidR="00701713" w:rsidRPr="003E5155" w:rsidTr="00A61CDB">
        <w:trPr>
          <w:trHeight w:val="2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Fluke 375 Fluke 600A TRMS AC/DC CLAMP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 287.92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1,151.68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1,151.68 </w:t>
            </w:r>
          </w:p>
        </w:tc>
      </w:tr>
      <w:tr w:rsidR="00701713" w:rsidRPr="003E5155" w:rsidTr="00A61CDB">
        <w:trPr>
          <w:trHeight w:val="2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New air conditioning servicing equipment.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7,500.00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75,000.00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$                 7,500.00 </w:t>
            </w:r>
          </w:p>
        </w:tc>
      </w:tr>
      <w:tr w:rsidR="00701713" w:rsidRPr="003E5155" w:rsidTr="00A61CDB">
        <w:trPr>
          <w:trHeight w:val="342"/>
        </w:trPr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13" w:rsidRPr="003E5155" w:rsidRDefault="00701713" w:rsidP="00A61C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E51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 $              249,397.68 </w:t>
            </w:r>
          </w:p>
        </w:tc>
      </w:tr>
    </w:tbl>
    <w:p w:rsidR="00701713" w:rsidRDefault="00701713">
      <w:pPr>
        <w:rPr>
          <w:rFonts w:ascii="Times New Roman" w:hAnsi="Times New Roman" w:cs="Times New Roman"/>
        </w:rPr>
      </w:pPr>
    </w:p>
    <w:p w:rsidR="0015527B" w:rsidRDefault="0015527B" w:rsidP="00F9110D">
      <w:pPr>
        <w:jc w:val="center"/>
        <w:rPr>
          <w:rFonts w:ascii="Times New Roman" w:hAnsi="Times New Roman" w:cs="Times New Roman"/>
        </w:rPr>
      </w:pPr>
    </w:p>
    <w:p w:rsidR="00B9101C" w:rsidRDefault="00B9101C" w:rsidP="00F9110D">
      <w:pPr>
        <w:jc w:val="center"/>
        <w:rPr>
          <w:rFonts w:ascii="Times New Roman" w:hAnsi="Times New Roman" w:cs="Times New Roman"/>
        </w:rPr>
      </w:pPr>
    </w:p>
    <w:p w:rsidR="00B9101C" w:rsidRDefault="00B9101C" w:rsidP="00F9110D">
      <w:pPr>
        <w:jc w:val="center"/>
        <w:rPr>
          <w:rFonts w:ascii="Times New Roman" w:hAnsi="Times New Roman" w:cs="Times New Roman"/>
        </w:rPr>
      </w:pPr>
    </w:p>
    <w:p w:rsidR="00B9101C" w:rsidRDefault="00B9101C" w:rsidP="00F9110D">
      <w:pPr>
        <w:jc w:val="center"/>
        <w:rPr>
          <w:rFonts w:ascii="Times New Roman" w:hAnsi="Times New Roman" w:cs="Times New Roman"/>
        </w:rPr>
      </w:pPr>
    </w:p>
    <w:p w:rsidR="00B9101C" w:rsidRDefault="00B9101C" w:rsidP="00F9110D">
      <w:pPr>
        <w:jc w:val="center"/>
        <w:rPr>
          <w:rFonts w:ascii="Times New Roman" w:hAnsi="Times New Roman" w:cs="Times New Roman"/>
        </w:rPr>
      </w:pPr>
    </w:p>
    <w:p w:rsidR="00B9101C" w:rsidRDefault="00B9101C" w:rsidP="00F9110D">
      <w:pPr>
        <w:jc w:val="center"/>
        <w:rPr>
          <w:rFonts w:ascii="Times New Roman" w:hAnsi="Times New Roman" w:cs="Times New Roman"/>
        </w:rPr>
      </w:pPr>
    </w:p>
    <w:p w:rsidR="00B9101C" w:rsidRPr="00682A96" w:rsidRDefault="00B9101C" w:rsidP="00B9101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04AD2">
        <w:rPr>
          <w:rFonts w:ascii="Times New Roman" w:hAnsi="Times New Roman" w:cs="Times New Roman"/>
          <w:i/>
        </w:rPr>
        <w:t>Table 12</w:t>
      </w:r>
      <w:r w:rsidR="00D04AD2">
        <w:rPr>
          <w:rFonts w:ascii="Times New Roman" w:hAnsi="Times New Roman" w:cs="Times New Roman"/>
          <w:i/>
        </w:rPr>
        <w:t>.</w:t>
      </w:r>
      <w:r w:rsidRPr="00682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682A96">
        <w:rPr>
          <w:rFonts w:ascii="Times New Roman" w:hAnsi="Times New Roman" w:cs="Times New Roman"/>
        </w:rPr>
        <w:t xml:space="preserve">equested budget for </w:t>
      </w:r>
      <w:r>
        <w:rPr>
          <w:rFonts w:ascii="Times New Roman" w:hAnsi="Times New Roman" w:cs="Times New Roman"/>
        </w:rPr>
        <w:t>the Automotive Technologies Department</w:t>
      </w:r>
    </w:p>
    <w:p w:rsidR="00B9101C" w:rsidRDefault="00B9101C" w:rsidP="00F9110D">
      <w:pPr>
        <w:jc w:val="center"/>
        <w:rPr>
          <w:rFonts w:ascii="Times New Roman" w:hAnsi="Times New Roman" w:cs="Times New Roman"/>
        </w:rPr>
      </w:pPr>
    </w:p>
    <w:sectPr w:rsidR="00B9101C" w:rsidSect="00507AFB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AF" w:rsidRDefault="000E41AF" w:rsidP="00B93BD4">
      <w:pPr>
        <w:spacing w:after="0" w:line="240" w:lineRule="auto"/>
      </w:pPr>
      <w:r>
        <w:separator/>
      </w:r>
    </w:p>
  </w:endnote>
  <w:endnote w:type="continuationSeparator" w:id="0">
    <w:p w:rsidR="000E41AF" w:rsidRDefault="000E41AF" w:rsidP="00B9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40691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E3A" w:rsidRPr="00B93BD4" w:rsidRDefault="00E73E3A" w:rsidP="00E208EB">
        <w:pPr>
          <w:pStyle w:val="Footer"/>
          <w:jc w:val="center"/>
          <w:rPr>
            <w:rFonts w:ascii="Times New Roman" w:hAnsi="Times New Roman" w:cs="Times New Roman"/>
            <w:noProof/>
          </w:rPr>
        </w:pPr>
        <w:r w:rsidRPr="00B93BD4">
          <w:rPr>
            <w:rFonts w:ascii="Times New Roman" w:hAnsi="Times New Roman" w:cs="Times New Roman"/>
          </w:rPr>
          <w:fldChar w:fldCharType="begin"/>
        </w:r>
        <w:r w:rsidRPr="00B93BD4">
          <w:rPr>
            <w:rFonts w:ascii="Times New Roman" w:hAnsi="Times New Roman" w:cs="Times New Roman"/>
          </w:rPr>
          <w:instrText xml:space="preserve"> PAGE   \* MERGEFORMAT </w:instrText>
        </w:r>
        <w:r w:rsidRPr="00B93BD4">
          <w:rPr>
            <w:rFonts w:ascii="Times New Roman" w:hAnsi="Times New Roman" w:cs="Times New Roman"/>
          </w:rPr>
          <w:fldChar w:fldCharType="separate"/>
        </w:r>
        <w:r w:rsidR="00D67719">
          <w:rPr>
            <w:rFonts w:ascii="Times New Roman" w:hAnsi="Times New Roman" w:cs="Times New Roman"/>
            <w:noProof/>
          </w:rPr>
          <w:t>9</w:t>
        </w:r>
        <w:r w:rsidRPr="00B93BD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73E3A" w:rsidRDefault="00E73E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AF" w:rsidRDefault="000E41AF" w:rsidP="00B93BD4">
      <w:pPr>
        <w:spacing w:after="0" w:line="240" w:lineRule="auto"/>
      </w:pPr>
      <w:r>
        <w:separator/>
      </w:r>
    </w:p>
  </w:footnote>
  <w:footnote w:type="continuationSeparator" w:id="0">
    <w:p w:rsidR="000E41AF" w:rsidRDefault="000E41AF" w:rsidP="00B9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3A" w:rsidRPr="00A61CDB" w:rsidRDefault="00E73E3A" w:rsidP="00A61CD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A61CDB">
      <w:rPr>
        <w:rFonts w:ascii="Times New Roman" w:hAnsi="Times New Roman" w:cs="Times New Roman"/>
        <w:sz w:val="24"/>
        <w:szCs w:val="24"/>
      </w:rPr>
      <w:t>Division of Business, Computer Science and Applied Technologies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DC8"/>
    <w:multiLevelType w:val="hybridMultilevel"/>
    <w:tmpl w:val="A1BE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1643"/>
    <w:multiLevelType w:val="hybridMultilevel"/>
    <w:tmpl w:val="442A871C"/>
    <w:lvl w:ilvl="0" w:tplc="DFC65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F36E56"/>
    <w:multiLevelType w:val="hybridMultilevel"/>
    <w:tmpl w:val="30F8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43284"/>
    <w:multiLevelType w:val="hybridMultilevel"/>
    <w:tmpl w:val="305CB0F4"/>
    <w:lvl w:ilvl="0" w:tplc="DE785A0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715040A"/>
    <w:multiLevelType w:val="hybridMultilevel"/>
    <w:tmpl w:val="F0B4EC32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43F66"/>
    <w:multiLevelType w:val="hybridMultilevel"/>
    <w:tmpl w:val="305CB0F4"/>
    <w:lvl w:ilvl="0" w:tplc="DE785A0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DA708CC"/>
    <w:multiLevelType w:val="hybridMultilevel"/>
    <w:tmpl w:val="C770A1E6"/>
    <w:lvl w:ilvl="0" w:tplc="8CFC35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02E7"/>
    <w:multiLevelType w:val="hybridMultilevel"/>
    <w:tmpl w:val="F580DF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F2D5B27"/>
    <w:multiLevelType w:val="hybridMultilevel"/>
    <w:tmpl w:val="288E5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61E3E"/>
    <w:multiLevelType w:val="hybridMultilevel"/>
    <w:tmpl w:val="442A871C"/>
    <w:lvl w:ilvl="0" w:tplc="DFC65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602025"/>
    <w:multiLevelType w:val="hybridMultilevel"/>
    <w:tmpl w:val="BD3C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66"/>
    <w:rsid w:val="00006039"/>
    <w:rsid w:val="00011BA0"/>
    <w:rsid w:val="00051078"/>
    <w:rsid w:val="000D4B33"/>
    <w:rsid w:val="000E41AF"/>
    <w:rsid w:val="0015527B"/>
    <w:rsid w:val="00165640"/>
    <w:rsid w:val="00165F53"/>
    <w:rsid w:val="00167901"/>
    <w:rsid w:val="001757DE"/>
    <w:rsid w:val="00177ED1"/>
    <w:rsid w:val="00192E53"/>
    <w:rsid w:val="001A449C"/>
    <w:rsid w:val="001C57F7"/>
    <w:rsid w:val="001C7F84"/>
    <w:rsid w:val="001D506B"/>
    <w:rsid w:val="001E204D"/>
    <w:rsid w:val="001F4F0D"/>
    <w:rsid w:val="001F78EF"/>
    <w:rsid w:val="00212A85"/>
    <w:rsid w:val="00227804"/>
    <w:rsid w:val="002312B7"/>
    <w:rsid w:val="002330D5"/>
    <w:rsid w:val="00253B2A"/>
    <w:rsid w:val="002652DB"/>
    <w:rsid w:val="00296D8F"/>
    <w:rsid w:val="002C7BE1"/>
    <w:rsid w:val="002D6235"/>
    <w:rsid w:val="002F04C6"/>
    <w:rsid w:val="003521D4"/>
    <w:rsid w:val="00356892"/>
    <w:rsid w:val="003A0DD9"/>
    <w:rsid w:val="003E5155"/>
    <w:rsid w:val="0041652D"/>
    <w:rsid w:val="00422782"/>
    <w:rsid w:val="00451D4F"/>
    <w:rsid w:val="004546A7"/>
    <w:rsid w:val="0045483F"/>
    <w:rsid w:val="00471E08"/>
    <w:rsid w:val="0047676A"/>
    <w:rsid w:val="0049658C"/>
    <w:rsid w:val="004E7198"/>
    <w:rsid w:val="004F044B"/>
    <w:rsid w:val="00507AFB"/>
    <w:rsid w:val="00524E98"/>
    <w:rsid w:val="00585CB0"/>
    <w:rsid w:val="00594A34"/>
    <w:rsid w:val="00595655"/>
    <w:rsid w:val="005A4866"/>
    <w:rsid w:val="005B3307"/>
    <w:rsid w:val="005C461C"/>
    <w:rsid w:val="00603099"/>
    <w:rsid w:val="00620374"/>
    <w:rsid w:val="00626952"/>
    <w:rsid w:val="006307C3"/>
    <w:rsid w:val="006316DC"/>
    <w:rsid w:val="00643922"/>
    <w:rsid w:val="00660634"/>
    <w:rsid w:val="00663C13"/>
    <w:rsid w:val="00673A5C"/>
    <w:rsid w:val="00682A96"/>
    <w:rsid w:val="006900EF"/>
    <w:rsid w:val="006A4012"/>
    <w:rsid w:val="006B05BC"/>
    <w:rsid w:val="006B4306"/>
    <w:rsid w:val="006B653E"/>
    <w:rsid w:val="006C762E"/>
    <w:rsid w:val="00701713"/>
    <w:rsid w:val="00711E85"/>
    <w:rsid w:val="00760975"/>
    <w:rsid w:val="00766A78"/>
    <w:rsid w:val="00770DA2"/>
    <w:rsid w:val="007A3D6B"/>
    <w:rsid w:val="007A51B5"/>
    <w:rsid w:val="00816DE7"/>
    <w:rsid w:val="00834C2B"/>
    <w:rsid w:val="00842FDA"/>
    <w:rsid w:val="00850DC7"/>
    <w:rsid w:val="008B14A6"/>
    <w:rsid w:val="008B4D3D"/>
    <w:rsid w:val="008C4519"/>
    <w:rsid w:val="008C50F4"/>
    <w:rsid w:val="008C77A0"/>
    <w:rsid w:val="008E5A15"/>
    <w:rsid w:val="00905C59"/>
    <w:rsid w:val="00905CE5"/>
    <w:rsid w:val="00906169"/>
    <w:rsid w:val="00926960"/>
    <w:rsid w:val="0094140E"/>
    <w:rsid w:val="0096193B"/>
    <w:rsid w:val="00983932"/>
    <w:rsid w:val="009E0EF5"/>
    <w:rsid w:val="009E20A6"/>
    <w:rsid w:val="009F0F27"/>
    <w:rsid w:val="009F7878"/>
    <w:rsid w:val="00A15B38"/>
    <w:rsid w:val="00A5346D"/>
    <w:rsid w:val="00A61CDB"/>
    <w:rsid w:val="00A81E71"/>
    <w:rsid w:val="00A8468B"/>
    <w:rsid w:val="00A92B07"/>
    <w:rsid w:val="00AB3EC5"/>
    <w:rsid w:val="00B02357"/>
    <w:rsid w:val="00B367AF"/>
    <w:rsid w:val="00B41D04"/>
    <w:rsid w:val="00B46565"/>
    <w:rsid w:val="00B612B9"/>
    <w:rsid w:val="00B646B5"/>
    <w:rsid w:val="00B7511D"/>
    <w:rsid w:val="00B86366"/>
    <w:rsid w:val="00B87C60"/>
    <w:rsid w:val="00B9101C"/>
    <w:rsid w:val="00B93BD4"/>
    <w:rsid w:val="00B93BE4"/>
    <w:rsid w:val="00BB0832"/>
    <w:rsid w:val="00C03090"/>
    <w:rsid w:val="00C44EAA"/>
    <w:rsid w:val="00C469D3"/>
    <w:rsid w:val="00C57877"/>
    <w:rsid w:val="00C57FCC"/>
    <w:rsid w:val="00C87E29"/>
    <w:rsid w:val="00CA7117"/>
    <w:rsid w:val="00CB1CC7"/>
    <w:rsid w:val="00CB49A0"/>
    <w:rsid w:val="00CC00B7"/>
    <w:rsid w:val="00CE5A22"/>
    <w:rsid w:val="00CE7620"/>
    <w:rsid w:val="00CF13A6"/>
    <w:rsid w:val="00CF6E09"/>
    <w:rsid w:val="00D04AD2"/>
    <w:rsid w:val="00D16E3D"/>
    <w:rsid w:val="00D3045F"/>
    <w:rsid w:val="00D44CAE"/>
    <w:rsid w:val="00D67719"/>
    <w:rsid w:val="00D736E9"/>
    <w:rsid w:val="00DD54CE"/>
    <w:rsid w:val="00DE72F3"/>
    <w:rsid w:val="00DF20BF"/>
    <w:rsid w:val="00DF31A7"/>
    <w:rsid w:val="00E208EB"/>
    <w:rsid w:val="00E2153E"/>
    <w:rsid w:val="00E34252"/>
    <w:rsid w:val="00E35DBA"/>
    <w:rsid w:val="00E4643B"/>
    <w:rsid w:val="00E52623"/>
    <w:rsid w:val="00E56742"/>
    <w:rsid w:val="00E66EFF"/>
    <w:rsid w:val="00E73E3A"/>
    <w:rsid w:val="00EE7324"/>
    <w:rsid w:val="00F03B72"/>
    <w:rsid w:val="00F2510B"/>
    <w:rsid w:val="00F47F71"/>
    <w:rsid w:val="00F65A55"/>
    <w:rsid w:val="00F67EF3"/>
    <w:rsid w:val="00F7307F"/>
    <w:rsid w:val="00F9110D"/>
    <w:rsid w:val="00FA4405"/>
    <w:rsid w:val="00FA6F7B"/>
    <w:rsid w:val="00FD65E6"/>
    <w:rsid w:val="00FE09D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4866"/>
    <w:rPr>
      <w:i/>
      <w:iCs/>
    </w:rPr>
  </w:style>
  <w:style w:type="character" w:styleId="Strong">
    <w:name w:val="Strong"/>
    <w:basedOn w:val="DefaultParagraphFont"/>
    <w:uiPriority w:val="22"/>
    <w:qFormat/>
    <w:rsid w:val="005A4866"/>
    <w:rPr>
      <w:b/>
      <w:bCs/>
    </w:rPr>
  </w:style>
  <w:style w:type="character" w:customStyle="1" w:styleId="apple-converted-space">
    <w:name w:val="apple-converted-space"/>
    <w:basedOn w:val="DefaultParagraphFont"/>
    <w:rsid w:val="005A4866"/>
  </w:style>
  <w:style w:type="paragraph" w:styleId="BalloonText">
    <w:name w:val="Balloon Text"/>
    <w:basedOn w:val="Normal"/>
    <w:link w:val="BalloonTextChar"/>
    <w:uiPriority w:val="99"/>
    <w:semiHidden/>
    <w:unhideWhenUsed/>
    <w:rsid w:val="005A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D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0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1E7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2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11E85"/>
    <w:pPr>
      <w:spacing w:after="0" w:line="240" w:lineRule="auto"/>
    </w:pPr>
    <w:rPr>
      <w:rFonts w:ascii="Bookman Old Style" w:hAnsi="Bookman Old Style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E85"/>
    <w:rPr>
      <w:rFonts w:ascii="Bookman Old Style" w:hAnsi="Bookman Old Style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B9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BD4"/>
  </w:style>
  <w:style w:type="paragraph" w:styleId="Footer">
    <w:name w:val="footer"/>
    <w:basedOn w:val="Normal"/>
    <w:link w:val="FooterChar"/>
    <w:uiPriority w:val="99"/>
    <w:unhideWhenUsed/>
    <w:rsid w:val="00B9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B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4866"/>
    <w:rPr>
      <w:i/>
      <w:iCs/>
    </w:rPr>
  </w:style>
  <w:style w:type="character" w:styleId="Strong">
    <w:name w:val="Strong"/>
    <w:basedOn w:val="DefaultParagraphFont"/>
    <w:uiPriority w:val="22"/>
    <w:qFormat/>
    <w:rsid w:val="005A4866"/>
    <w:rPr>
      <w:b/>
      <w:bCs/>
    </w:rPr>
  </w:style>
  <w:style w:type="character" w:customStyle="1" w:styleId="apple-converted-space">
    <w:name w:val="apple-converted-space"/>
    <w:basedOn w:val="DefaultParagraphFont"/>
    <w:rsid w:val="005A4866"/>
  </w:style>
  <w:style w:type="paragraph" w:styleId="BalloonText">
    <w:name w:val="Balloon Text"/>
    <w:basedOn w:val="Normal"/>
    <w:link w:val="BalloonTextChar"/>
    <w:uiPriority w:val="99"/>
    <w:semiHidden/>
    <w:unhideWhenUsed/>
    <w:rsid w:val="005A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D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0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1E7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2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11E85"/>
    <w:pPr>
      <w:spacing w:after="0" w:line="240" w:lineRule="auto"/>
    </w:pPr>
    <w:rPr>
      <w:rFonts w:ascii="Bookman Old Style" w:hAnsi="Bookman Old Style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E85"/>
    <w:rPr>
      <w:rFonts w:ascii="Bookman Old Style" w:hAnsi="Bookman Old Style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B9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BD4"/>
  </w:style>
  <w:style w:type="paragraph" w:styleId="Footer">
    <w:name w:val="footer"/>
    <w:basedOn w:val="Normal"/>
    <w:link w:val="FooterChar"/>
    <w:uiPriority w:val="99"/>
    <w:unhideWhenUsed/>
    <w:rsid w:val="00B9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anza.edu/ir/program-review_2013-14/CB_Div.pdf" TargetMode="External"/><Relationship Id="rId12" Type="http://schemas.openxmlformats.org/officeDocument/2006/relationships/hyperlink" Target="http://www.deanza.edu/ir/Program_Review_2014-15/AT_Div.pdf" TargetMode="External"/><Relationship Id="rId13" Type="http://schemas.openxmlformats.org/officeDocument/2006/relationships/hyperlink" Target="http://www.deanza.edu/ir/Program_Review_2014-15/AT_Div.pdf" TargetMode="External"/><Relationship Id="rId14" Type="http://schemas.openxmlformats.org/officeDocument/2006/relationships/hyperlink" Target="http://journal.firsttuesday.us/the-rises-and-declines-of-real-estate-licensees/2983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anza.edu/ir/pdf/Awards%20Summary.pdf" TargetMode="External"/><Relationship Id="rId9" Type="http://schemas.openxmlformats.org/officeDocument/2006/relationships/hyperlink" Target="http://www.deanza.edu/ir/program-review_2013-14/CB_Div.pdf" TargetMode="External"/><Relationship Id="rId10" Type="http://schemas.openxmlformats.org/officeDocument/2006/relationships/hyperlink" Target="http://www.deanza.edu/ir/program-review_2013-14/CB_Di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2681</Words>
  <Characters>15287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De Anza College</cp:lastModifiedBy>
  <cp:revision>2</cp:revision>
  <cp:lastPrinted>2016-04-26T19:07:00Z</cp:lastPrinted>
  <dcterms:created xsi:type="dcterms:W3CDTF">2016-04-29T20:46:00Z</dcterms:created>
  <dcterms:modified xsi:type="dcterms:W3CDTF">2016-04-29T20:46:00Z</dcterms:modified>
</cp:coreProperties>
</file>