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5DE7" w14:textId="77777777"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TracDat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represents the information you would see if you pressed the help button (a question mark) by each box in TracDat.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r>
        <w:rPr>
          <w:rFonts w:ascii="Baskerville Old Face" w:hAnsi="Baskerville Old Face" w:cs="Arial"/>
          <w:sz w:val="20"/>
          <w:szCs w:val="20"/>
        </w:rPr>
        <w:t xml:space="preserve">TracDat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Trac Dat,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10"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14:paraId="13293A77" w14:textId="77777777" w:rsidR="008D04A2" w:rsidRDefault="008D04A2" w:rsidP="00B00C6D">
      <w:pPr>
        <w:spacing w:after="0" w:line="240" w:lineRule="auto"/>
        <w:rPr>
          <w:rFonts w:ascii="Baskerville Old Face" w:hAnsi="Baskerville Old Face" w:cs="Arial"/>
          <w:sz w:val="20"/>
          <w:szCs w:val="20"/>
        </w:rPr>
      </w:pPr>
    </w:p>
    <w:p w14:paraId="2FB4AF03" w14:textId="77777777"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14:paraId="41AAE061"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14:paraId="536EBE5B"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14:paraId="5A899015"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14:paraId="6A696C77" w14:textId="77777777"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14:paraId="6972EE37" w14:textId="77777777" w:rsidR="00B00C6D" w:rsidRPr="008D04A2" w:rsidRDefault="00B00C6D" w:rsidP="00B00C6D">
      <w:pPr>
        <w:spacing w:after="0" w:line="240" w:lineRule="auto"/>
        <w:rPr>
          <w:rFonts w:ascii="Baskerville Old Face" w:hAnsi="Baskerville Old Face" w:cs="Arial"/>
          <w:sz w:val="20"/>
          <w:szCs w:val="20"/>
        </w:rPr>
      </w:pPr>
    </w:p>
    <w:p w14:paraId="79299DC7" w14:textId="77777777" w:rsidR="00B00C6D" w:rsidRPr="00F16AA7" w:rsidRDefault="008D04A2" w:rsidP="00B00C6D">
      <w:pPr>
        <w:spacing w:after="0" w:line="240" w:lineRule="auto"/>
        <w:rPr>
          <w:rFonts w:ascii="Baskerville Old Face" w:hAnsi="Baskerville Old Face" w:cs="Arial"/>
          <w:sz w:val="20"/>
          <w:szCs w:val="20"/>
        </w:rPr>
      </w:pPr>
      <w:r>
        <w:rPr>
          <w:rFonts w:ascii="Baskerville Old Face" w:hAnsi="Baskerville Old Face" w:cs="Arial"/>
          <w:sz w:val="20"/>
          <w:szCs w:val="20"/>
        </w:rPr>
        <w:t>In TracD</w:t>
      </w:r>
      <w:r w:rsidR="00B00C6D" w:rsidRPr="008D04A2">
        <w:rPr>
          <w:rFonts w:ascii="Baskerville Old Face" w:hAnsi="Baskerville Old Face" w:cs="Arial"/>
          <w:sz w:val="20"/>
          <w:szCs w:val="20"/>
        </w:rPr>
        <w:t>at. Limit narrative to 100 words; bullet points encouraged</w:t>
      </w: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560"/>
        <w:gridCol w:w="3690"/>
      </w:tblGrid>
      <w:tr w:rsidR="003353E7" w:rsidRPr="00304656" w14:paraId="391B3A06" w14:textId="77777777" w:rsidTr="000E763B">
        <w:trPr>
          <w:trHeight w:val="1025"/>
        </w:trPr>
        <w:tc>
          <w:tcPr>
            <w:tcW w:w="810" w:type="dxa"/>
          </w:tcPr>
          <w:p w14:paraId="4C96C76A" w14:textId="77777777"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14:paraId="4F6D0B8B" w14:textId="77777777"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7560" w:type="dxa"/>
            <w:shd w:val="clear" w:color="auto" w:fill="auto"/>
          </w:tcPr>
          <w:p w14:paraId="2560ABC3" w14:textId="77777777"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14:paraId="08AA30A2" w14:textId="77777777"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Trac</w:t>
            </w:r>
            <w:r w:rsidR="00412725" w:rsidRPr="00304656">
              <w:rPr>
                <w:rFonts w:ascii="Baskerville Old Face" w:hAnsi="Baskerville Old Face" w:cs="Arial"/>
                <w:b/>
                <w:kern w:val="16"/>
                <w:sz w:val="20"/>
                <w:szCs w:val="20"/>
              </w:rPr>
              <w:t>Dat Help button will reveal</w:t>
            </w:r>
            <w:r w:rsidR="00412725">
              <w:rPr>
                <w:rFonts w:ascii="Baskerville Old Face" w:hAnsi="Baskerville Old Face" w:cs="Arial"/>
                <w:b/>
                <w:kern w:val="16"/>
                <w:sz w:val="20"/>
                <w:szCs w:val="20"/>
              </w:rPr>
              <w:t xml:space="preserve"> the same cues (sorry no hyperlinks)</w:t>
            </w:r>
          </w:p>
        </w:tc>
        <w:tc>
          <w:tcPr>
            <w:tcW w:w="3690" w:type="dxa"/>
          </w:tcPr>
          <w:p w14:paraId="041873B3" w14:textId="77777777"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14:paraId="2F5F7DC2" w14:textId="77777777" w:rsidTr="000E763B">
        <w:tc>
          <w:tcPr>
            <w:tcW w:w="810" w:type="dxa"/>
          </w:tcPr>
          <w:p w14:paraId="648DC128" w14:textId="77777777"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14:paraId="2D381897" w14:textId="77777777"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7560" w:type="dxa"/>
            <w:shd w:val="clear" w:color="auto" w:fill="auto"/>
          </w:tcPr>
          <w:p w14:paraId="5C141266" w14:textId="77777777" w:rsidR="00D75934" w:rsidRPr="00304656" w:rsidRDefault="00D75934" w:rsidP="00300FF7">
            <w:pPr>
              <w:spacing w:after="0" w:line="240" w:lineRule="auto"/>
              <w:jc w:val="both"/>
              <w:rPr>
                <w:rFonts w:ascii="Baskerville Old Face" w:hAnsi="Baskerville Old Face" w:cs="Arial"/>
                <w:sz w:val="20"/>
                <w:szCs w:val="20"/>
              </w:rPr>
            </w:pPr>
          </w:p>
        </w:tc>
        <w:tc>
          <w:tcPr>
            <w:tcW w:w="3690" w:type="dxa"/>
          </w:tcPr>
          <w:p w14:paraId="0912C014" w14:textId="77777777"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14:paraId="182D84B1" w14:textId="77777777" w:rsidTr="000E763B">
        <w:tc>
          <w:tcPr>
            <w:tcW w:w="810" w:type="dxa"/>
          </w:tcPr>
          <w:p w14:paraId="7D6841AE" w14:textId="77777777" w:rsidR="00412725" w:rsidRPr="003353E7" w:rsidRDefault="00412725" w:rsidP="00300FF7">
            <w:pPr>
              <w:spacing w:after="0" w:line="240" w:lineRule="auto"/>
              <w:jc w:val="both"/>
              <w:rPr>
                <w:rFonts w:ascii="Baskerville Old Face" w:hAnsi="Baskerville Old Face" w:cs="Arial"/>
                <w:sz w:val="18"/>
                <w:szCs w:val="18"/>
              </w:rPr>
            </w:pPr>
            <w:r w:rsidRPr="003353E7">
              <w:rPr>
                <w:rFonts w:ascii="Baskerville Old Face" w:hAnsi="Baskerville Old Face" w:cs="Arial"/>
                <w:sz w:val="18"/>
                <w:szCs w:val="18"/>
              </w:rPr>
              <w:t>I.A.1</w:t>
            </w:r>
          </w:p>
          <w:p w14:paraId="23ACB7FC" w14:textId="77777777" w:rsidR="00412725" w:rsidRPr="003353E7" w:rsidRDefault="00412725" w:rsidP="00300FF7">
            <w:pPr>
              <w:spacing w:after="0" w:line="240" w:lineRule="auto"/>
              <w:jc w:val="both"/>
              <w:rPr>
                <w:rFonts w:ascii="Baskerville Old Face" w:hAnsi="Baskerville Old Face" w:cs="Arial"/>
                <w:sz w:val="18"/>
                <w:szCs w:val="18"/>
              </w:rPr>
            </w:pPr>
          </w:p>
        </w:tc>
        <w:tc>
          <w:tcPr>
            <w:tcW w:w="2340" w:type="dxa"/>
            <w:shd w:val="clear" w:color="auto" w:fill="auto"/>
          </w:tcPr>
          <w:p w14:paraId="341AF71E" w14:textId="77777777"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14:paraId="09871910"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7560" w:type="dxa"/>
            <w:shd w:val="clear" w:color="auto" w:fill="auto"/>
          </w:tcPr>
          <w:p w14:paraId="1ED92227" w14:textId="77777777" w:rsidR="00412725" w:rsidRPr="00304656" w:rsidRDefault="00412725" w:rsidP="00300FF7">
            <w:pPr>
              <w:spacing w:after="0" w:line="240" w:lineRule="auto"/>
              <w:jc w:val="both"/>
              <w:rPr>
                <w:rFonts w:ascii="Baskerville Old Face" w:hAnsi="Baskerville Old Face" w:cs="Arial"/>
                <w:sz w:val="20"/>
                <w:szCs w:val="20"/>
              </w:rPr>
            </w:pPr>
          </w:p>
        </w:tc>
        <w:tc>
          <w:tcPr>
            <w:tcW w:w="3690" w:type="dxa"/>
          </w:tcPr>
          <w:p w14:paraId="0AFFF382" w14:textId="77777777" w:rsidR="00412725" w:rsidRPr="00304656" w:rsidRDefault="008E3B07"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Humanities</w:t>
            </w:r>
          </w:p>
        </w:tc>
      </w:tr>
      <w:tr w:rsidR="003353E7" w:rsidRPr="00304656" w14:paraId="661E61EE" w14:textId="77777777" w:rsidTr="000E763B">
        <w:trPr>
          <w:trHeight w:val="548"/>
        </w:trPr>
        <w:tc>
          <w:tcPr>
            <w:tcW w:w="810" w:type="dxa"/>
          </w:tcPr>
          <w:p w14:paraId="25483233"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I.A.2</w:t>
            </w:r>
          </w:p>
        </w:tc>
        <w:tc>
          <w:tcPr>
            <w:tcW w:w="2340" w:type="dxa"/>
            <w:shd w:val="clear" w:color="auto" w:fill="auto"/>
          </w:tcPr>
          <w:p w14:paraId="5DBA9555"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7560" w:type="dxa"/>
            <w:shd w:val="clear" w:color="auto" w:fill="auto"/>
          </w:tcPr>
          <w:p w14:paraId="59FFD0AB" w14:textId="77777777"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1"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3690" w:type="dxa"/>
          </w:tcPr>
          <w:p w14:paraId="45F51473" w14:textId="77777777" w:rsidR="00412725" w:rsidRPr="003C4604" w:rsidRDefault="0090410A" w:rsidP="00300FF7">
            <w:pPr>
              <w:spacing w:after="0" w:line="240" w:lineRule="auto"/>
              <w:jc w:val="both"/>
              <w:rPr>
                <w:rFonts w:ascii="Baskerville Old Face" w:hAnsi="Baskerville Old Face" w:cs="Arial"/>
                <w:sz w:val="20"/>
                <w:szCs w:val="20"/>
                <w:highlight w:val="yellow"/>
              </w:rPr>
            </w:pPr>
            <w:r w:rsidRPr="0090410A">
              <w:rPr>
                <w:rFonts w:ascii="Baskerville Old Face" w:hAnsi="Baskerville Old Face" w:cs="Arial"/>
                <w:sz w:val="20"/>
                <w:szCs w:val="20"/>
              </w:rPr>
              <w:t>The Humanities engage students in critical analysis of how they know what they know and promote recognition of the rich human plurality of histories, truths and worldviews. A strong multidisciplinary foundation draws connections between and among academic and intellectual domains of the arts and sciences, as well as the philosophies and religions of the world.  A multicultural approach encourages broad synthesis of human issues and a discussion of the relationship between an individual and historical, cultural and social milieu. Students are compelled to recognize themselves as active creators of cultural change in a diverse and increasingly global context.</w:t>
            </w:r>
          </w:p>
        </w:tc>
      </w:tr>
      <w:tr w:rsidR="003353E7" w:rsidRPr="00304656" w14:paraId="1CFFF6E5" w14:textId="77777777" w:rsidTr="000E763B">
        <w:trPr>
          <w:trHeight w:val="620"/>
        </w:trPr>
        <w:tc>
          <w:tcPr>
            <w:tcW w:w="810" w:type="dxa"/>
          </w:tcPr>
          <w:p w14:paraId="369FE5B7"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I.A.3</w:t>
            </w:r>
          </w:p>
        </w:tc>
        <w:tc>
          <w:tcPr>
            <w:tcW w:w="2340" w:type="dxa"/>
            <w:shd w:val="clear" w:color="auto" w:fill="auto"/>
          </w:tcPr>
          <w:p w14:paraId="2F3C79CB"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3E193232"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3690" w:type="dxa"/>
          </w:tcPr>
          <w:p w14:paraId="67A76CA5" w14:textId="77777777" w:rsidR="00412725" w:rsidRPr="00304656" w:rsidRDefault="0090410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r>
      <w:tr w:rsidR="003353E7" w:rsidRPr="00304656" w14:paraId="353A9E53" w14:textId="77777777" w:rsidTr="000E763B">
        <w:trPr>
          <w:trHeight w:val="629"/>
        </w:trPr>
        <w:tc>
          <w:tcPr>
            <w:tcW w:w="810" w:type="dxa"/>
          </w:tcPr>
          <w:p w14:paraId="22AF79D2"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I.A.4</w:t>
            </w:r>
          </w:p>
        </w:tc>
        <w:tc>
          <w:tcPr>
            <w:tcW w:w="2340" w:type="dxa"/>
            <w:shd w:val="clear" w:color="auto" w:fill="auto"/>
          </w:tcPr>
          <w:p w14:paraId="40E143D5" w14:textId="77777777"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Choose a 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560" w:type="dxa"/>
            <w:shd w:val="clear" w:color="auto" w:fill="auto"/>
          </w:tcPr>
          <w:p w14:paraId="1CF4145A" w14:textId="77777777"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Skills,</w:t>
            </w:r>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3690" w:type="dxa"/>
          </w:tcPr>
          <w:p w14:paraId="5ABD8F98" w14:textId="77777777" w:rsidR="00412725" w:rsidRPr="00304656" w:rsidRDefault="0090410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Personal Enrichment</w:t>
            </w:r>
          </w:p>
        </w:tc>
      </w:tr>
      <w:tr w:rsidR="003353E7" w:rsidRPr="00304656" w14:paraId="65527E19" w14:textId="77777777" w:rsidTr="000E763B">
        <w:tc>
          <w:tcPr>
            <w:tcW w:w="810" w:type="dxa"/>
          </w:tcPr>
          <w:p w14:paraId="24D8A368"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14:paraId="26018AAD" w14:textId="77777777"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7560" w:type="dxa"/>
            <w:shd w:val="clear" w:color="auto" w:fill="auto"/>
          </w:tcPr>
          <w:p w14:paraId="2431C3AD" w14:textId="77777777"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14:paraId="242C7980" w14:textId="77777777" w:rsidR="00412725" w:rsidRDefault="007D531B" w:rsidP="00300FF7">
            <w:pPr>
              <w:spacing w:after="0" w:line="240" w:lineRule="auto"/>
              <w:rPr>
                <w:rFonts w:eastAsia="Times New Roman"/>
                <w:sz w:val="18"/>
                <w:szCs w:val="18"/>
              </w:rPr>
            </w:pPr>
            <w:hyperlink r:id="rId12"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14:paraId="593DD913" w14:textId="77777777"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34BD82DF"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686509FD" w14:textId="77777777" w:rsidTr="000E763B">
        <w:trPr>
          <w:trHeight w:val="917"/>
        </w:trPr>
        <w:tc>
          <w:tcPr>
            <w:tcW w:w="810" w:type="dxa"/>
          </w:tcPr>
          <w:p w14:paraId="28BC842A" w14:textId="77777777"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14:paraId="6326F521" w14:textId="77777777"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7560" w:type="dxa"/>
            <w:shd w:val="clear" w:color="auto" w:fill="auto"/>
          </w:tcPr>
          <w:p w14:paraId="6896E3D4" w14:textId="77777777"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3"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7FAF2AFB"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3690" w:type="dxa"/>
          </w:tcPr>
          <w:p w14:paraId="7E10DFC2"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0E7306D5" w14:textId="77777777" w:rsidTr="000E763B">
        <w:trPr>
          <w:trHeight w:val="827"/>
        </w:trPr>
        <w:tc>
          <w:tcPr>
            <w:tcW w:w="810" w:type="dxa"/>
          </w:tcPr>
          <w:p w14:paraId="073D1A23"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14:paraId="4E20616B" w14:textId="77777777"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7560" w:type="dxa"/>
            <w:shd w:val="clear" w:color="auto" w:fill="auto"/>
          </w:tcPr>
          <w:p w14:paraId="4B462242" w14:textId="77777777"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4" w:history="1">
              <w:r w:rsidR="006666A9" w:rsidRPr="00580D27">
                <w:rPr>
                  <w:rStyle w:val="Hyperlink"/>
                  <w:rFonts w:eastAsia="Times New Roman"/>
                  <w:sz w:val="18"/>
                  <w:szCs w:val="18"/>
                </w:rPr>
                <w:t>http://deanza.fhda.edu/ir/AwardsbyDivision.html</w:t>
              </w:r>
            </w:hyperlink>
          </w:p>
          <w:p w14:paraId="5C9D1664" w14:textId="77777777" w:rsidR="00412725" w:rsidRPr="00167AF5" w:rsidRDefault="00412725" w:rsidP="00300FF7">
            <w:pPr>
              <w:spacing w:after="0" w:line="240" w:lineRule="auto"/>
              <w:rPr>
                <w:rFonts w:ascii="Baskerville Old Face" w:eastAsia="Times New Roman" w:hAnsi="Baskerville Old Face"/>
                <w:sz w:val="20"/>
                <w:szCs w:val="20"/>
              </w:rPr>
            </w:pPr>
          </w:p>
          <w:p w14:paraId="1170E10F" w14:textId="77777777"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3690" w:type="dxa"/>
          </w:tcPr>
          <w:p w14:paraId="3276B10D"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1F96AED0" w14:textId="77777777" w:rsidTr="000E763B">
        <w:trPr>
          <w:trHeight w:val="827"/>
        </w:trPr>
        <w:tc>
          <w:tcPr>
            <w:tcW w:w="810" w:type="dxa"/>
          </w:tcPr>
          <w:p w14:paraId="6DD9DB50"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14:paraId="59BF8645" w14:textId="77777777"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7560" w:type="dxa"/>
            <w:shd w:val="clear" w:color="auto" w:fill="auto"/>
          </w:tcPr>
          <w:p w14:paraId="238EE8CC" w14:textId="77777777"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w:t>
            </w:r>
            <w:r w:rsidR="006666A9">
              <w:rPr>
                <w:rFonts w:ascii="Baskerville Old Face" w:eastAsia="Times New Roman" w:hAnsi="Baskerville Old Face"/>
                <w:sz w:val="20"/>
                <w:szCs w:val="20"/>
              </w:rPr>
              <w:t xml:space="preserve"> Associate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5"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14:paraId="3C85AAE2" w14:textId="77777777" w:rsidR="006666A9" w:rsidRPr="00851D83" w:rsidRDefault="006666A9" w:rsidP="00300FF7">
            <w:pPr>
              <w:spacing w:after="0" w:line="240" w:lineRule="auto"/>
              <w:rPr>
                <w:rFonts w:eastAsia="Times New Roman"/>
                <w:sz w:val="18"/>
                <w:szCs w:val="18"/>
              </w:rPr>
            </w:pPr>
          </w:p>
          <w:p w14:paraId="6EF97298" w14:textId="77777777"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3690" w:type="dxa"/>
          </w:tcPr>
          <w:p w14:paraId="72AE30E5" w14:textId="77777777"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14:paraId="470BB81E" w14:textId="77777777" w:rsidTr="000E763B">
        <w:tc>
          <w:tcPr>
            <w:tcW w:w="810" w:type="dxa"/>
          </w:tcPr>
          <w:p w14:paraId="72BD3182" w14:textId="77777777"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14:paraId="5F214129" w14:textId="77777777"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7560" w:type="dxa"/>
            <w:shd w:val="clear" w:color="auto" w:fill="auto"/>
          </w:tcPr>
          <w:p w14:paraId="19CDA254" w14:textId="77777777"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14:paraId="00D94198" w14:textId="77777777"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3690" w:type="dxa"/>
          </w:tcPr>
          <w:p w14:paraId="29B605DD"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763ED321" w14:textId="77777777" w:rsidTr="000E763B">
        <w:tc>
          <w:tcPr>
            <w:tcW w:w="810" w:type="dxa"/>
          </w:tcPr>
          <w:p w14:paraId="27A32B28" w14:textId="77777777"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14:paraId="39BB6E01" w14:textId="77777777"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14:paraId="6677F959" w14:textId="77777777" w:rsidR="00412725" w:rsidRPr="00881B8B" w:rsidRDefault="00412725" w:rsidP="00300FF7">
            <w:pPr>
              <w:spacing w:after="0" w:line="240" w:lineRule="auto"/>
              <w:rPr>
                <w:rFonts w:ascii="Baskerville Old Face" w:hAnsi="Baskerville Old Face" w:cs="Arial"/>
                <w:sz w:val="20"/>
                <w:szCs w:val="20"/>
                <w:highlight w:val="green"/>
              </w:rPr>
            </w:pPr>
          </w:p>
        </w:tc>
        <w:tc>
          <w:tcPr>
            <w:tcW w:w="7560" w:type="dxa"/>
            <w:shd w:val="clear" w:color="auto" w:fill="auto"/>
          </w:tcPr>
          <w:p w14:paraId="23A5B522" w14:textId="77777777"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3690" w:type="dxa"/>
          </w:tcPr>
          <w:p w14:paraId="27229F1D" w14:textId="77777777" w:rsidR="00412725" w:rsidRDefault="00412725" w:rsidP="00300FF7">
            <w:pPr>
              <w:spacing w:after="0" w:line="240" w:lineRule="auto"/>
              <w:rPr>
                <w:rFonts w:ascii="Baskerville Old Face" w:hAnsi="Baskerville Old Face" w:cs="Arial"/>
                <w:sz w:val="20"/>
                <w:szCs w:val="20"/>
              </w:rPr>
            </w:pPr>
          </w:p>
        </w:tc>
      </w:tr>
      <w:tr w:rsidR="003353E7" w:rsidRPr="00304656" w14:paraId="28CCCF8E" w14:textId="77777777" w:rsidTr="000E763B">
        <w:tc>
          <w:tcPr>
            <w:tcW w:w="810" w:type="dxa"/>
          </w:tcPr>
          <w:p w14:paraId="633690A6" w14:textId="77777777"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14:paraId="3F580D4B" w14:textId="77777777"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14:paraId="3002B9AF" w14:textId="77777777" w:rsidR="00412725" w:rsidRPr="00167AF5"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739A3454" w14:textId="77777777"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3690" w:type="dxa"/>
          </w:tcPr>
          <w:p w14:paraId="7DD67ED6"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23F529E5" w14:textId="77777777" w:rsidTr="000E763B">
        <w:trPr>
          <w:trHeight w:val="953"/>
        </w:trPr>
        <w:tc>
          <w:tcPr>
            <w:tcW w:w="810" w:type="dxa"/>
          </w:tcPr>
          <w:p w14:paraId="54433F25"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14:paraId="32DA5000"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7560" w:type="dxa"/>
            <w:shd w:val="clear" w:color="auto" w:fill="auto"/>
          </w:tcPr>
          <w:p w14:paraId="7C3BD681" w14:textId="77777777"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3690" w:type="dxa"/>
          </w:tcPr>
          <w:p w14:paraId="1EA11025" w14:textId="77777777"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14:paraId="3CB76EF5" w14:textId="77777777" w:rsidTr="000E763B">
        <w:trPr>
          <w:trHeight w:val="953"/>
        </w:trPr>
        <w:tc>
          <w:tcPr>
            <w:tcW w:w="810" w:type="dxa"/>
          </w:tcPr>
          <w:p w14:paraId="0F54F07D" w14:textId="77777777"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14:paraId="489AAB06" w14:textId="77777777"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7560" w:type="dxa"/>
            <w:shd w:val="clear" w:color="auto" w:fill="auto"/>
          </w:tcPr>
          <w:p w14:paraId="709FE72F" w14:textId="77777777"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3690" w:type="dxa"/>
          </w:tcPr>
          <w:p w14:paraId="4174E664" w14:textId="77777777" w:rsidR="00412725" w:rsidRPr="00C80C60" w:rsidRDefault="00412725" w:rsidP="00300FF7">
            <w:pPr>
              <w:spacing w:after="0" w:line="240" w:lineRule="auto"/>
              <w:rPr>
                <w:rFonts w:ascii="Baskerville Old Face" w:hAnsi="Baskerville Old Face" w:cs="Arial"/>
                <w:sz w:val="20"/>
                <w:szCs w:val="20"/>
              </w:rPr>
            </w:pPr>
          </w:p>
        </w:tc>
      </w:tr>
      <w:tr w:rsidR="003353E7" w:rsidRPr="00CB47F9" w14:paraId="26D9A2E7" w14:textId="77777777" w:rsidTr="000E763B">
        <w:tc>
          <w:tcPr>
            <w:tcW w:w="810" w:type="dxa"/>
          </w:tcPr>
          <w:p w14:paraId="642884AB"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14:paraId="017681E5" w14:textId="77777777"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14:paraId="3A61E5A4"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58B387F0" w14:textId="77777777"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6" w:history="1">
              <w:r w:rsidR="00CF6AB0" w:rsidRPr="00F13454">
                <w:rPr>
                  <w:rStyle w:val="Hyperlink"/>
                  <w:rFonts w:ascii="Baskerville Old Face" w:eastAsia="Times New Roman" w:hAnsi="Baskerville Old Face" w:cs="Arial"/>
                  <w:sz w:val="20"/>
                  <w:szCs w:val="20"/>
                </w:rPr>
                <w:t>http://deanza.fhda.edu/ir/program-review.14-15.html</w:t>
              </w:r>
            </w:hyperlink>
            <w:r w:rsidR="00CF6AB0">
              <w:rPr>
                <w:rFonts w:ascii="Baskerville Old Face" w:eastAsia="Times New Roman" w:hAnsi="Baskerville Old Face" w:cs="Arial"/>
                <w:sz w:val="20"/>
                <w:szCs w:val="20"/>
              </w:rPr>
              <w:t xml:space="preserve"> .</w:t>
            </w:r>
          </w:p>
        </w:tc>
        <w:tc>
          <w:tcPr>
            <w:tcW w:w="3690" w:type="dxa"/>
          </w:tcPr>
          <w:p w14:paraId="7A72F2CD" w14:textId="77777777" w:rsidR="00412725" w:rsidRPr="00CB47F9" w:rsidRDefault="008E3B07"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2.2</w:t>
            </w:r>
          </w:p>
        </w:tc>
      </w:tr>
      <w:tr w:rsidR="003353E7" w:rsidRPr="00CB47F9" w14:paraId="2D2C416B" w14:textId="77777777" w:rsidTr="000E763B">
        <w:tc>
          <w:tcPr>
            <w:tcW w:w="810" w:type="dxa"/>
          </w:tcPr>
          <w:p w14:paraId="064B3849" w14:textId="77777777"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14:paraId="0EBAFD1F"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14:paraId="368D555F" w14:textId="77777777" w:rsidR="00412725" w:rsidRPr="00CB47F9"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6710DF72" w14:textId="77777777"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3690" w:type="dxa"/>
          </w:tcPr>
          <w:p w14:paraId="0D5912A0" w14:textId="77777777" w:rsidR="00412725" w:rsidRPr="00CB47F9" w:rsidRDefault="008E3B07"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0</w:t>
            </w:r>
          </w:p>
        </w:tc>
      </w:tr>
      <w:tr w:rsidR="003353E7" w:rsidRPr="00CB47F9" w14:paraId="18F7AA43" w14:textId="77777777" w:rsidTr="000E763B">
        <w:tc>
          <w:tcPr>
            <w:tcW w:w="810" w:type="dxa"/>
          </w:tcPr>
          <w:p w14:paraId="15D66FAE" w14:textId="77777777"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14:paraId="5E871677"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sidR="006666A9">
              <w:rPr>
                <w:rFonts w:ascii="Baskerville Old Face" w:hAnsi="Baskerville Old Face" w:cs="Arial"/>
                <w:sz w:val="20"/>
                <w:szCs w:val="20"/>
              </w:rPr>
              <w:t xml:space="preserve"> Faculty T</w:t>
            </w:r>
            <w:r w:rsidR="00FB3664" w:rsidRPr="00CB47F9">
              <w:rPr>
                <w:rFonts w:ascii="Baskerville Old Face" w:hAnsi="Baskerville Old Face" w:cs="Arial"/>
                <w:sz w:val="20"/>
                <w:szCs w:val="20"/>
              </w:rPr>
              <w:t>eaching</w:t>
            </w:r>
          </w:p>
        </w:tc>
        <w:tc>
          <w:tcPr>
            <w:tcW w:w="7560" w:type="dxa"/>
            <w:shd w:val="clear" w:color="auto" w:fill="auto"/>
          </w:tcPr>
          <w:p w14:paraId="7F75AC2B" w14:textId="77777777"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of  </w:t>
            </w:r>
            <w:r w:rsidRPr="00CB47F9">
              <w:rPr>
                <w:rFonts w:ascii="Baskerville Old Face" w:eastAsia="Times New Roman" w:hAnsi="Baskerville Old Face" w:cs="Arial"/>
                <w:sz w:val="20"/>
                <w:szCs w:val="20"/>
              </w:rPr>
              <w:t xml:space="preserve">FT and </w:t>
            </w:r>
            <w:r w:rsidR="00FB3664" w:rsidRPr="00CB47F9">
              <w:rPr>
                <w:rFonts w:ascii="Baskerville Old Face" w:eastAsia="Times New Roman" w:hAnsi="Baskerville Old Face" w:cs="Arial"/>
                <w:sz w:val="20"/>
                <w:szCs w:val="20"/>
              </w:rPr>
              <w:t>PT  faculty teaching in your department?</w:t>
            </w:r>
          </w:p>
          <w:p w14:paraId="605ADEC3" w14:textId="77777777"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7"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3690" w:type="dxa"/>
          </w:tcPr>
          <w:p w14:paraId="1920C379" w14:textId="77777777" w:rsidR="00412725" w:rsidRPr="00CB47F9" w:rsidRDefault="00CB6BF0"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Full-time</w:t>
            </w:r>
            <w:r w:rsidR="008E3B07">
              <w:rPr>
                <w:rFonts w:ascii="Baskerville Old Face" w:eastAsia="Times New Roman" w:hAnsi="Baskerville Old Face" w:cs="Arial"/>
                <w:sz w:val="20"/>
                <w:szCs w:val="20"/>
              </w:rPr>
              <w:t xml:space="preserve"> faculty teaching decreased from 24% to 22% in the past </w:t>
            </w:r>
            <w:r>
              <w:rPr>
                <w:rFonts w:ascii="Baskerville Old Face" w:eastAsia="Times New Roman" w:hAnsi="Baskerville Old Face" w:cs="Arial"/>
                <w:sz w:val="20"/>
                <w:szCs w:val="20"/>
              </w:rPr>
              <w:t>year, while part-time</w:t>
            </w:r>
            <w:r w:rsidR="008E3B07">
              <w:rPr>
                <w:rFonts w:ascii="Baskerville Old Face" w:eastAsia="Times New Roman" w:hAnsi="Baskerville Old Face" w:cs="Arial"/>
                <w:sz w:val="20"/>
                <w:szCs w:val="20"/>
              </w:rPr>
              <w:t xml:space="preserve"> faculty teachi</w:t>
            </w:r>
            <w:r>
              <w:rPr>
                <w:rFonts w:ascii="Baskerville Old Face" w:eastAsia="Times New Roman" w:hAnsi="Baskerville Old Face" w:cs="Arial"/>
                <w:sz w:val="20"/>
                <w:szCs w:val="20"/>
              </w:rPr>
              <w:t>ng increased from 60% to 63%. Full-time</w:t>
            </w:r>
            <w:r w:rsidR="008E3B07">
              <w:rPr>
                <w:rFonts w:ascii="Baskerville Old Face" w:eastAsia="Times New Roman" w:hAnsi="Baskerville Old Face" w:cs="Arial"/>
                <w:sz w:val="20"/>
                <w:szCs w:val="20"/>
              </w:rPr>
              <w:t xml:space="preserve"> faculty overloads decreased from 17% - 15%.</w:t>
            </w:r>
            <w:r w:rsidR="0098541F" w:rsidRPr="00CB47F9">
              <w:rPr>
                <w:rFonts w:ascii="Baskerville Old Face" w:eastAsia="Times New Roman" w:hAnsi="Baskerville Old Face" w:cs="Arial"/>
                <w:sz w:val="20"/>
                <w:szCs w:val="20"/>
              </w:rPr>
              <w:t xml:space="preserve"> </w:t>
            </w:r>
          </w:p>
        </w:tc>
      </w:tr>
      <w:tr w:rsidR="003353E7" w:rsidRPr="00CB47F9" w14:paraId="0C24877C" w14:textId="77777777" w:rsidTr="00CF6AB0">
        <w:trPr>
          <w:trHeight w:val="833"/>
        </w:trPr>
        <w:tc>
          <w:tcPr>
            <w:tcW w:w="810" w:type="dxa"/>
          </w:tcPr>
          <w:p w14:paraId="704B93BE"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14:paraId="1E6FE433"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7560" w:type="dxa"/>
            <w:shd w:val="clear" w:color="auto" w:fill="auto"/>
          </w:tcPr>
          <w:p w14:paraId="45923BE3" w14:textId="77777777"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3690" w:type="dxa"/>
          </w:tcPr>
          <w:p w14:paraId="1610589F" w14:textId="77777777"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14:paraId="6B43B613" w14:textId="77777777" w:rsidTr="000E763B">
        <w:tc>
          <w:tcPr>
            <w:tcW w:w="810" w:type="dxa"/>
          </w:tcPr>
          <w:p w14:paraId="706E4A9B" w14:textId="77777777"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14:paraId="5230FCBE" w14:textId="77777777"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7560" w:type="dxa"/>
            <w:shd w:val="clear" w:color="auto" w:fill="auto"/>
          </w:tcPr>
          <w:p w14:paraId="3C5CD62C" w14:textId="77777777"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3690" w:type="dxa"/>
          </w:tcPr>
          <w:p w14:paraId="509124F5" w14:textId="77777777" w:rsidR="00412725" w:rsidRPr="00CB47F9" w:rsidRDefault="001763A2" w:rsidP="00300FF7">
            <w:pPr>
              <w:spacing w:after="0" w:line="240" w:lineRule="auto"/>
              <w:rPr>
                <w:rFonts w:ascii="Baskerville Old Face" w:hAnsi="Baskerville Old Face" w:cs="Arial"/>
                <w:sz w:val="20"/>
                <w:szCs w:val="20"/>
              </w:rPr>
            </w:pPr>
            <w:r w:rsidRPr="001763A2">
              <w:rPr>
                <w:rFonts w:ascii="Baskerville Old Face" w:hAnsi="Baskerville Old Face" w:cs="Arial"/>
                <w:sz w:val="20"/>
                <w:szCs w:val="20"/>
              </w:rPr>
              <w:t>The load factor for full-time Humanities faculty changed from .11 to .089, meaning that full-time faculty now teach 11 classes a year instead of 9 for the same pay. Part-time faculty now teach 7 classes instead of 6 for slightly less pay, and full-time faculty teaching overloads or in the summer receive significantly less pay for the same amount of work.</w:t>
            </w:r>
          </w:p>
        </w:tc>
      </w:tr>
      <w:tr w:rsidR="00D75934" w:rsidRPr="00522854" w14:paraId="46BA4D74" w14:textId="77777777" w:rsidTr="000E763B">
        <w:tc>
          <w:tcPr>
            <w:tcW w:w="810" w:type="dxa"/>
          </w:tcPr>
          <w:p w14:paraId="1FACE666"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14:paraId="470F9552" w14:textId="77777777"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7560" w:type="dxa"/>
            <w:shd w:val="clear" w:color="auto" w:fill="auto"/>
          </w:tcPr>
          <w:p w14:paraId="3BE04275" w14:textId="77777777" w:rsidR="00D75934" w:rsidRPr="00412725" w:rsidRDefault="00D75934" w:rsidP="00300FF7">
            <w:pPr>
              <w:spacing w:after="0" w:line="240" w:lineRule="auto"/>
              <w:rPr>
                <w:rFonts w:ascii="Baskerville Old Face" w:hAnsi="Baskerville Old Face" w:cs="Arial"/>
                <w:sz w:val="20"/>
                <w:szCs w:val="20"/>
              </w:rPr>
            </w:pPr>
          </w:p>
        </w:tc>
        <w:tc>
          <w:tcPr>
            <w:tcW w:w="3690" w:type="dxa"/>
          </w:tcPr>
          <w:p w14:paraId="256249EA" w14:textId="77777777"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14:paraId="5D4FC7D6" w14:textId="77777777" w:rsidTr="000E763B">
        <w:tc>
          <w:tcPr>
            <w:tcW w:w="810" w:type="dxa"/>
          </w:tcPr>
          <w:p w14:paraId="743A44DD" w14:textId="77777777"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14:paraId="7A70B76F" w14:textId="77777777"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14:paraId="513A25EB" w14:textId="77777777"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7560" w:type="dxa"/>
            <w:shd w:val="clear" w:color="auto" w:fill="auto"/>
          </w:tcPr>
          <w:p w14:paraId="3ECD874E" w14:textId="77777777"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to </w:t>
            </w:r>
            <w:r w:rsidR="008C78FE">
              <w:t xml:space="preserve"> </w:t>
            </w:r>
            <w:r w:rsidR="00D45CAE" w:rsidRPr="00D45CAE">
              <w:rPr>
                <w:rFonts w:ascii="Baskerville Old Face" w:eastAsia="Times New Roman" w:hAnsi="Baskerville Old Face" w:cs="Arial"/>
                <w:sz w:val="20"/>
                <w:szCs w:val="20"/>
              </w:rPr>
              <w:t xml:space="preserve"> </w:t>
            </w:r>
            <w:hyperlink r:id="rId18" w:history="1">
              <w:r w:rsidR="006A22C0" w:rsidRPr="00BF7377">
                <w:rPr>
                  <w:rStyle w:val="Hyperlink"/>
                  <w:rFonts w:ascii="Baskerville Old Face" w:eastAsia="Times New Roman" w:hAnsi="Baskerville Old Face" w:cs="Arial"/>
                  <w:sz w:val="20"/>
                  <w:szCs w:val="20"/>
                </w:rPr>
                <w:t>http://deanza.fhda.edu/ir/program-review.14-15.html</w:t>
              </w:r>
            </w:hyperlink>
            <w:r w:rsidR="006A22C0">
              <w:rPr>
                <w:rFonts w:ascii="Baskerville Old Face" w:eastAsia="Times New Roman" w:hAnsi="Baskerville Old Face" w:cs="Arial"/>
                <w:sz w:val="20"/>
                <w:szCs w:val="20"/>
              </w:rPr>
              <w:t xml:space="preserve"> </w:t>
            </w:r>
          </w:p>
        </w:tc>
        <w:tc>
          <w:tcPr>
            <w:tcW w:w="3690" w:type="dxa"/>
          </w:tcPr>
          <w:p w14:paraId="6DCC9A7E" w14:textId="77777777" w:rsidR="00BB32B3" w:rsidRPr="00FF39EC" w:rsidRDefault="00C5731F" w:rsidP="00300FF7">
            <w:pPr>
              <w:spacing w:after="0" w:line="240" w:lineRule="auto"/>
              <w:rPr>
                <w:rFonts w:ascii="Baskerville Old Face" w:eastAsia="MS Mincho" w:hAnsi="Baskerville Old Face"/>
                <w:sz w:val="20"/>
                <w:szCs w:val="20"/>
                <w:highlight w:val="yellow"/>
              </w:rPr>
            </w:pPr>
            <w:r w:rsidRPr="00C5731F">
              <w:rPr>
                <w:rFonts w:ascii="Baskerville Old Face" w:eastAsia="MS Mincho" w:hAnsi="Baskerville Old Face"/>
                <w:sz w:val="20"/>
                <w:szCs w:val="20"/>
              </w:rPr>
              <w:t xml:space="preserve">As mentioned in the field above, the 3,713 students served in the 2014/15 school year represents an improvement of 7.7% from the previous year and a significant (15%) growth from the 3,210 students served in 2012/13.  The division as a whole has decreased enrollment by 1.5% in the past year and the college has decreased enrollment by 3.7% in the past year, so our 7.7% increase is significant in comparison.  </w:t>
            </w:r>
          </w:p>
        </w:tc>
      </w:tr>
      <w:tr w:rsidR="003353E7" w:rsidRPr="00304656" w14:paraId="6300858B" w14:textId="77777777" w:rsidTr="000E763B">
        <w:trPr>
          <w:trHeight w:val="503"/>
        </w:trPr>
        <w:tc>
          <w:tcPr>
            <w:tcW w:w="810" w:type="dxa"/>
          </w:tcPr>
          <w:p w14:paraId="58B24484" w14:textId="77777777" w:rsidR="00BB32B3" w:rsidRPr="003353E7" w:rsidRDefault="00BB32B3" w:rsidP="00300FF7">
            <w:pPr>
              <w:spacing w:after="0" w:line="240" w:lineRule="auto"/>
              <w:rPr>
                <w:rFonts w:ascii="Baskerville Old Face" w:eastAsia="MS Mincho" w:hAnsi="Baskerville Old Face"/>
                <w:sz w:val="18"/>
                <w:szCs w:val="18"/>
              </w:rPr>
            </w:pPr>
            <w:r w:rsidRPr="003353E7">
              <w:rPr>
                <w:rFonts w:ascii="Baskerville Old Face" w:eastAsia="MS Mincho" w:hAnsi="Baskerville Old Face"/>
                <w:sz w:val="18"/>
                <w:szCs w:val="18"/>
              </w:rPr>
              <w:t>II.B.2</w:t>
            </w:r>
          </w:p>
        </w:tc>
        <w:tc>
          <w:tcPr>
            <w:tcW w:w="2340" w:type="dxa"/>
            <w:shd w:val="clear" w:color="auto" w:fill="auto"/>
          </w:tcPr>
          <w:p w14:paraId="49FB6BBF"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14:paraId="4D615886"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2A8DFA3A" w14:textId="77777777"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3690" w:type="dxa"/>
          </w:tcPr>
          <w:p w14:paraId="23C54BFA" w14:textId="77777777" w:rsidR="00BB32B3" w:rsidRPr="00304656" w:rsidRDefault="00C5731F" w:rsidP="00300FF7">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Overall success rates in Humanities courses have increased from 73% to 76%.</w:t>
            </w:r>
          </w:p>
        </w:tc>
      </w:tr>
      <w:tr w:rsidR="003353E7" w:rsidRPr="00304656" w14:paraId="758CECA6" w14:textId="77777777" w:rsidTr="000E763B">
        <w:tc>
          <w:tcPr>
            <w:tcW w:w="810" w:type="dxa"/>
          </w:tcPr>
          <w:p w14:paraId="26100987" w14:textId="77777777"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.B.3</w:t>
            </w:r>
          </w:p>
        </w:tc>
        <w:tc>
          <w:tcPr>
            <w:tcW w:w="2340" w:type="dxa"/>
            <w:shd w:val="clear" w:color="auto" w:fill="auto"/>
          </w:tcPr>
          <w:p w14:paraId="504A4653" w14:textId="77777777"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14:paraId="4C78C687" w14:textId="77777777" w:rsidR="00BB32B3" w:rsidRPr="00A74838" w:rsidRDefault="00BB32B3" w:rsidP="00300FF7">
            <w:pPr>
              <w:spacing w:after="0" w:line="240" w:lineRule="auto"/>
              <w:rPr>
                <w:rFonts w:ascii="Baskerville Old Face" w:eastAsia="MS Mincho" w:hAnsi="Baskerville Old Face"/>
                <w:sz w:val="20"/>
                <w:szCs w:val="20"/>
              </w:rPr>
            </w:pPr>
          </w:p>
        </w:tc>
        <w:tc>
          <w:tcPr>
            <w:tcW w:w="7560" w:type="dxa"/>
            <w:shd w:val="clear" w:color="auto" w:fill="auto"/>
          </w:tcPr>
          <w:p w14:paraId="506503DB"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9"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14:paraId="4E51C817" w14:textId="77777777"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3690" w:type="dxa"/>
          </w:tcPr>
          <w:p w14:paraId="32760AE6" w14:textId="77777777" w:rsidR="00BB32B3" w:rsidRPr="00304656" w:rsidRDefault="00BB32B3" w:rsidP="00300FF7">
            <w:pPr>
              <w:spacing w:after="0" w:line="240" w:lineRule="auto"/>
              <w:rPr>
                <w:rFonts w:ascii="Baskerville Old Face" w:hAnsi="Baskerville Old Face" w:cs="Arial"/>
                <w:sz w:val="20"/>
                <w:szCs w:val="20"/>
              </w:rPr>
            </w:pPr>
          </w:p>
        </w:tc>
      </w:tr>
      <w:tr w:rsidR="003353E7" w:rsidRPr="00304656" w14:paraId="331602DC" w14:textId="77777777" w:rsidTr="000E763B">
        <w:tc>
          <w:tcPr>
            <w:tcW w:w="810" w:type="dxa"/>
          </w:tcPr>
          <w:p w14:paraId="3A5F8701" w14:textId="77777777"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r w:rsidR="007D3C1C" w:rsidRPr="003353E7">
              <w:rPr>
                <w:rFonts w:ascii="Baskerville Old Face" w:hAnsi="Baskerville Old Face" w:cs="Arial"/>
                <w:sz w:val="18"/>
                <w:szCs w:val="18"/>
              </w:rPr>
              <w:t>4</w:t>
            </w:r>
          </w:p>
        </w:tc>
        <w:tc>
          <w:tcPr>
            <w:tcW w:w="2340" w:type="dxa"/>
            <w:shd w:val="clear" w:color="auto" w:fill="auto"/>
          </w:tcPr>
          <w:p w14:paraId="7DCAFE03" w14:textId="77777777"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14:paraId="6F7FB252"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10E8F019"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c>
          <w:tcPr>
            <w:tcW w:w="3690" w:type="dxa"/>
          </w:tcPr>
          <w:p w14:paraId="534FAFBF" w14:textId="77777777" w:rsidR="007D3C1C" w:rsidRPr="00304656" w:rsidRDefault="00C5731F" w:rsidP="00300FF7">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The focus on SLO and PLO work as encouraged by the accreditation team has impacted the workload of faculty members in the department.  Potentially, the faculty discussion generated in this process has helped us to focus on our learning goals for our students.  We anticipate that Transfer Model Curriculum requirements will also have an impact on program offerings and student participation in our courses.</w:t>
            </w:r>
          </w:p>
        </w:tc>
      </w:tr>
      <w:tr w:rsidR="00D75934" w:rsidRPr="00304656" w14:paraId="093D3366" w14:textId="77777777" w:rsidTr="000E763B">
        <w:tc>
          <w:tcPr>
            <w:tcW w:w="810" w:type="dxa"/>
          </w:tcPr>
          <w:p w14:paraId="6E788EE8" w14:textId="77777777" w:rsidR="00D75934" w:rsidRPr="000E763B"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14:paraId="220F4415" w14:textId="77777777"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7560" w:type="dxa"/>
            <w:shd w:val="clear" w:color="auto" w:fill="auto"/>
          </w:tcPr>
          <w:p w14:paraId="3EB39F63" w14:textId="77777777" w:rsidR="00D75934" w:rsidRPr="00D75934" w:rsidRDefault="00D75934" w:rsidP="00300FF7">
            <w:pPr>
              <w:spacing w:after="0" w:line="240" w:lineRule="auto"/>
              <w:rPr>
                <w:rFonts w:ascii="Baskerville Old Face" w:hAnsi="Baskerville Old Face" w:cs="Arial"/>
                <w:sz w:val="20"/>
                <w:szCs w:val="20"/>
                <w:highlight w:val="lightGray"/>
              </w:rPr>
            </w:pPr>
          </w:p>
        </w:tc>
        <w:tc>
          <w:tcPr>
            <w:tcW w:w="3690" w:type="dxa"/>
          </w:tcPr>
          <w:p w14:paraId="0BF676EE" w14:textId="77777777"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14:paraId="6D86E0A1" w14:textId="77777777" w:rsidTr="000E763B">
        <w:tc>
          <w:tcPr>
            <w:tcW w:w="810" w:type="dxa"/>
          </w:tcPr>
          <w:p w14:paraId="0BE9869B" w14:textId="77777777"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14:paraId="18DDA4C7" w14:textId="77777777"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14:paraId="0A07302D" w14:textId="77777777" w:rsidR="00412725" w:rsidRPr="00372800" w:rsidRDefault="00412725" w:rsidP="00300FF7">
            <w:pPr>
              <w:spacing w:after="0" w:line="240" w:lineRule="auto"/>
              <w:rPr>
                <w:rFonts w:ascii="Baskerville Old Face" w:hAnsi="Baskerville Old Face" w:cs="Arial"/>
                <w:sz w:val="20"/>
                <w:szCs w:val="20"/>
              </w:rPr>
            </w:pPr>
          </w:p>
        </w:tc>
        <w:tc>
          <w:tcPr>
            <w:tcW w:w="7560" w:type="dxa"/>
            <w:shd w:val="clear" w:color="auto" w:fill="auto"/>
          </w:tcPr>
          <w:p w14:paraId="50CFE592" w14:textId="77777777"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African Americans, Latinos, Filipinos</w:t>
            </w:r>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
        </w:tc>
        <w:tc>
          <w:tcPr>
            <w:tcW w:w="3690" w:type="dxa"/>
          </w:tcPr>
          <w:p w14:paraId="52A6E6DB" w14:textId="77777777" w:rsidR="00C5731F" w:rsidRPr="00C5731F" w:rsidRDefault="00C5731F" w:rsidP="00C5731F">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 xml:space="preserve">Enrollments in our courses have grown 6.1% overall in the past year with a 2.3% increase in sections.  Targeted student population enrollment grew by 5.4%, while non-targeted student population enrollment grew by 6.5%.  Targeted student population enrollment accounts for 35.5% of our student enrollment, roughly the same as it was last year.  The enrollment gain in the past year for the targeted populations is larger than both the 3.7% increase for the division and the 1.2% increase for the college.  Non-targeted groups dropped 2.8% in the division and 1.9% in the college.  </w:t>
            </w:r>
          </w:p>
          <w:p w14:paraId="67F35113" w14:textId="77777777" w:rsidR="00C5731F" w:rsidRPr="00C5731F" w:rsidRDefault="00C5731F" w:rsidP="00C5731F">
            <w:pPr>
              <w:spacing w:after="0" w:line="240" w:lineRule="auto"/>
              <w:rPr>
                <w:rFonts w:ascii="Baskerville Old Face" w:hAnsi="Baskerville Old Face" w:cs="Arial"/>
                <w:sz w:val="20"/>
                <w:szCs w:val="20"/>
              </w:rPr>
            </w:pPr>
          </w:p>
          <w:p w14:paraId="7C7A26DB" w14:textId="77777777" w:rsidR="00C5731F" w:rsidRPr="00C5731F" w:rsidRDefault="00C5731F" w:rsidP="00C5731F">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 xml:space="preserve">African Ancestry student enrollment in our courses increased by 17.1% in the past year, while Filipino student enrollment increased by 12.9%, and Latino/a student enrollment increased by less than 1%.  Pacific Islander student enrollment remains flat at 30 students total.  Growth in enrollments of African Ancestry and Filipino students are markedly higher than those of the division, while growth in enrollment of Latino/a students is slightly less than those of the division. Growth in enrollments of African Ancestry and Filipino students are markedly higher than those of the college, while growth in enrollment of Latino/a students is similar to those of the college. </w:t>
            </w:r>
          </w:p>
          <w:p w14:paraId="7531A168" w14:textId="77777777" w:rsidR="00C5731F" w:rsidRPr="00C5731F" w:rsidRDefault="00C5731F" w:rsidP="00C5731F">
            <w:pPr>
              <w:spacing w:after="0" w:line="240" w:lineRule="auto"/>
              <w:rPr>
                <w:rFonts w:ascii="Baskerville Old Face" w:hAnsi="Baskerville Old Face" w:cs="Arial"/>
                <w:sz w:val="20"/>
                <w:szCs w:val="20"/>
              </w:rPr>
            </w:pPr>
          </w:p>
          <w:p w14:paraId="0C0A0ABF" w14:textId="77777777" w:rsidR="00C5731F" w:rsidRPr="00C5731F" w:rsidRDefault="00C5731F" w:rsidP="00C5731F">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In the past year, success rates for targeted populations have remained steady at 64%, and success rates for not targeted populations increased from 77% to 82%,  which means that the equity gap grew from 13% to 18%.  In the past year, African Ancestry student success rates dropped by 8%, Filipino student success rates increased by 1%, Pacific Islander student success rates increased by 3% and Latino/a student success rates increased by 2%.  Over two years, Africa</w:t>
            </w:r>
            <w:r w:rsidR="00A7752B">
              <w:rPr>
                <w:rFonts w:ascii="Baskerville Old Face" w:hAnsi="Baskerville Old Face" w:cs="Arial"/>
                <w:sz w:val="20"/>
                <w:szCs w:val="20"/>
              </w:rPr>
              <w:t>n Ancestry students showed a</w:t>
            </w:r>
            <w:r w:rsidRPr="00C5731F">
              <w:rPr>
                <w:rFonts w:ascii="Baskerville Old Face" w:hAnsi="Baskerville Old Face" w:cs="Arial"/>
                <w:sz w:val="20"/>
                <w:szCs w:val="20"/>
              </w:rPr>
              <w:t xml:space="preserve"> decrease of 5%, Filipino students showed a increase of 10%, Pacific Islander students show a increase of 22%, and Latino/a students remained level. It is important to note that African Ancestry students were the only student population to show a dramatic increase in withdrawal rates, with an increase from 13% to 21% in the past year. African Ancestry student non-success rate actually decreased by 2% in the past year.</w:t>
            </w:r>
          </w:p>
          <w:p w14:paraId="784AED84" w14:textId="77777777" w:rsidR="00412725" w:rsidRPr="00304656" w:rsidRDefault="00412725" w:rsidP="00233CB7">
            <w:pPr>
              <w:spacing w:after="0" w:line="240" w:lineRule="auto"/>
              <w:rPr>
                <w:rFonts w:ascii="Baskerville Old Face" w:hAnsi="Baskerville Old Face" w:cs="Arial"/>
                <w:sz w:val="20"/>
                <w:szCs w:val="20"/>
              </w:rPr>
            </w:pPr>
          </w:p>
        </w:tc>
      </w:tr>
      <w:tr w:rsidR="003353E7" w:rsidRPr="00304656" w14:paraId="77C71B70" w14:textId="77777777" w:rsidTr="000E763B">
        <w:tc>
          <w:tcPr>
            <w:tcW w:w="810" w:type="dxa"/>
          </w:tcPr>
          <w:p w14:paraId="6A646E1B" w14:textId="77777777"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B</w:t>
            </w:r>
          </w:p>
        </w:tc>
        <w:tc>
          <w:tcPr>
            <w:tcW w:w="2340" w:type="dxa"/>
            <w:shd w:val="clear" w:color="auto" w:fill="auto"/>
          </w:tcPr>
          <w:p w14:paraId="29E0F81F" w14:textId="77777777"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14:paraId="369B8FD5" w14:textId="77777777" w:rsidR="007D3C1C" w:rsidRPr="00304656" w:rsidRDefault="007D3C1C" w:rsidP="00300FF7">
            <w:pPr>
              <w:spacing w:after="0" w:line="240" w:lineRule="auto"/>
              <w:rPr>
                <w:rFonts w:ascii="Baskerville Old Face" w:hAnsi="Baskerville Old Face" w:cs="Arial"/>
                <w:sz w:val="20"/>
                <w:szCs w:val="20"/>
              </w:rPr>
            </w:pPr>
          </w:p>
        </w:tc>
        <w:tc>
          <w:tcPr>
            <w:tcW w:w="7560" w:type="dxa"/>
            <w:shd w:val="clear" w:color="auto" w:fill="auto"/>
          </w:tcPr>
          <w:p w14:paraId="08E9BEAA"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documentation: </w:t>
            </w:r>
            <w:hyperlink r:id="rId20"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3690" w:type="dxa"/>
          </w:tcPr>
          <w:p w14:paraId="0A4442E6" w14:textId="77777777" w:rsidR="007D3C1C" w:rsidRPr="00A74838" w:rsidRDefault="00A7752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 </w:t>
            </w:r>
            <w:r w:rsidR="00C5731F" w:rsidRPr="00C5731F">
              <w:rPr>
                <w:rFonts w:ascii="Baskerville Old Face" w:hAnsi="Baskerville Old Face" w:cs="Arial"/>
                <w:sz w:val="20"/>
                <w:szCs w:val="20"/>
              </w:rPr>
              <w:t>The Humanities department is committed to student equity. Over time, we have seen a consistent pattern in increase of overall enrollment but minor/unsatisfactory change in our success metrics.  Gains in a given year might be followed be a partial slip in the next and then a recovery to the original numbers in the year that follows.  It is difficult to discern whether the tendencies we see in our own numbers are based on what is happening in our classroom or outside our classroom.  We are having a difficult time discerning whether the Humanities program’s efforts at engaging multicultural content, utilizing multicultural pedagogical techniques, and honoring multiple-intelligences and learning styles are affecting our metrics.  It must be noted here that information regarding growing outside economic constraints on targeted student populations would assist in evaluation of our pedagogical practices. It is possible that the Humanities program must reassess the relationship between basic skills and content while maintaining high standards and high expectations in the classroom. Differential preparedness between student populations presents a challenge that we must develop skills to meet. It seems clear that Humanities courses must assist students in building the basic skills they need for success in our classrooms and beyond. During the 2013/14 school year, a number of Humanities faculty piloted student-centered experiential projects in our introductory course as part of the Teagle grant that engaged students in social and environmental issues.  This Spring 2016, we are excited that our Creative Minds course will become one of the first courses at the college to fulfill the new Civic Engagement and Environmental Sustainability GE requirement and that our commitment to student empowerment for change will encourage success and retention for all students, and particularly for students in targeted populations.  In addition, the Humanities department is at the forefront of a division wide push to engage faculty in a discussion about pedagogies of engagement that have successful worked to improve targeted student success in their classrooms.  The most recent project has focused on raising student awareness of role models in the Humanities that are representative of the diversities present in our targeted populations.</w:t>
            </w:r>
          </w:p>
        </w:tc>
      </w:tr>
      <w:tr w:rsidR="003353E7" w:rsidRPr="00304656" w14:paraId="31D185E1" w14:textId="77777777" w:rsidTr="000E763B">
        <w:tc>
          <w:tcPr>
            <w:tcW w:w="810" w:type="dxa"/>
          </w:tcPr>
          <w:p w14:paraId="2C748622" w14:textId="77777777"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C</w:t>
            </w:r>
          </w:p>
        </w:tc>
        <w:tc>
          <w:tcPr>
            <w:tcW w:w="2340" w:type="dxa"/>
            <w:shd w:val="clear" w:color="auto" w:fill="auto"/>
          </w:tcPr>
          <w:p w14:paraId="0D4A964E" w14:textId="77777777"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7560" w:type="dxa"/>
            <w:shd w:val="clear" w:color="auto" w:fill="auto"/>
          </w:tcPr>
          <w:p w14:paraId="0174DA8C" w14:textId="77777777"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14:paraId="7AF0E6C7" w14:textId="77777777" w:rsidR="007D3C1C" w:rsidRPr="00A74838" w:rsidRDefault="007D531B" w:rsidP="00300FF7">
            <w:pPr>
              <w:spacing w:after="0" w:line="240" w:lineRule="auto"/>
              <w:rPr>
                <w:rFonts w:ascii="Baskerville Old Face" w:hAnsi="Baskerville Old Face" w:cs="Arial"/>
                <w:sz w:val="20"/>
                <w:szCs w:val="20"/>
              </w:rPr>
            </w:pPr>
            <w:hyperlink r:id="rId21"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14:paraId="06D249CC" w14:textId="77777777"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3690" w:type="dxa"/>
          </w:tcPr>
          <w:p w14:paraId="4C65CC88" w14:textId="15D047B3" w:rsidR="00C5731F" w:rsidRPr="00C5731F" w:rsidRDefault="00C5731F" w:rsidP="00C5731F">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Targeted ethnic groups overall success rates hover around 64%, representing an overall equity gap of 18%.  African American student success in Humanities courses for 2014/15 was 52%, which is significantly under the 60% threshold.  This ethnic group remains our most persistently non</w:t>
            </w:r>
            <w:r w:rsidR="008E3B07">
              <w:rPr>
                <w:rFonts w:ascii="Baskerville Old Face" w:hAnsi="Baskerville Old Face" w:cs="Arial"/>
                <w:sz w:val="20"/>
                <w:szCs w:val="20"/>
              </w:rPr>
              <w:t>-</w:t>
            </w:r>
            <w:r w:rsidRPr="00C5731F">
              <w:rPr>
                <w:rFonts w:ascii="Baskerville Old Face" w:hAnsi="Baskerville Old Face" w:cs="Arial"/>
                <w:sz w:val="20"/>
                <w:szCs w:val="20"/>
              </w:rPr>
              <w:t>successful student population.  This said, we have been successful in attracting significant increases in enrollment by African American students and have seen decrease in non-success rates due to higher withdraw</w:t>
            </w:r>
            <w:r w:rsidR="00407ED4">
              <w:rPr>
                <w:rFonts w:ascii="Baskerville Old Face" w:hAnsi="Baskerville Old Face" w:cs="Arial"/>
                <w:sz w:val="20"/>
                <w:szCs w:val="20"/>
              </w:rPr>
              <w:t>al rates.   We are hopeful that the implementation of concerted strategies by Humanities faculty to utilize pedagogies of engagement in their classrooms will help us retain and increase success rates for African Ancestry students.</w:t>
            </w:r>
            <w:r w:rsidRPr="00C5731F">
              <w:rPr>
                <w:rFonts w:ascii="Baskerville Old Face" w:hAnsi="Baskerville Old Face" w:cs="Arial"/>
                <w:sz w:val="20"/>
                <w:szCs w:val="20"/>
              </w:rPr>
              <w:t xml:space="preserve">  </w:t>
            </w:r>
          </w:p>
          <w:p w14:paraId="78646ACC" w14:textId="77777777" w:rsidR="00C5731F" w:rsidRPr="00C5731F" w:rsidRDefault="00C5731F" w:rsidP="00C5731F">
            <w:pPr>
              <w:spacing w:after="0" w:line="240" w:lineRule="auto"/>
              <w:rPr>
                <w:rFonts w:ascii="Baskerville Old Face" w:hAnsi="Baskerville Old Face" w:cs="Arial"/>
                <w:sz w:val="20"/>
                <w:szCs w:val="20"/>
              </w:rPr>
            </w:pPr>
          </w:p>
          <w:p w14:paraId="3F621BCE" w14:textId="77777777" w:rsidR="007D3C1C" w:rsidRPr="00A74838" w:rsidRDefault="00C5731F" w:rsidP="00C5731F">
            <w:pPr>
              <w:spacing w:after="0" w:line="240" w:lineRule="auto"/>
              <w:rPr>
                <w:rFonts w:ascii="Baskerville Old Face" w:hAnsi="Baskerville Old Face" w:cs="Arial"/>
                <w:sz w:val="20"/>
                <w:szCs w:val="20"/>
              </w:rPr>
            </w:pPr>
            <w:r w:rsidRPr="00C5731F">
              <w:rPr>
                <w:rFonts w:ascii="Baskerville Old Face" w:hAnsi="Baskerville Old Face" w:cs="Arial"/>
                <w:sz w:val="20"/>
                <w:szCs w:val="20"/>
              </w:rPr>
              <w:t>Please also see III.B (above) for a description of our department's current equity efforts.  In particular, the inclusion of African Ancestry scholars, authors, artists and role models can serve to further reinforce high expectations for African Ancestry students and communicate faculty's belief in their students' capacity for success.</w:t>
            </w:r>
          </w:p>
        </w:tc>
      </w:tr>
      <w:tr w:rsidR="00C91E2A" w:rsidRPr="00304656" w14:paraId="36F95669" w14:textId="77777777" w:rsidTr="000E763B">
        <w:tc>
          <w:tcPr>
            <w:tcW w:w="810" w:type="dxa"/>
          </w:tcPr>
          <w:p w14:paraId="4E09CC9F" w14:textId="77777777"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D</w:t>
            </w:r>
          </w:p>
        </w:tc>
        <w:tc>
          <w:tcPr>
            <w:tcW w:w="2340" w:type="dxa"/>
            <w:shd w:val="clear" w:color="auto" w:fill="auto"/>
          </w:tcPr>
          <w:p w14:paraId="68FBDF54" w14:textId="77777777"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7560" w:type="dxa"/>
            <w:shd w:val="clear" w:color="auto" w:fill="auto"/>
          </w:tcPr>
          <w:p w14:paraId="21B3851D" w14:textId="77777777"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3690" w:type="dxa"/>
          </w:tcPr>
          <w:p w14:paraId="7F067D14" w14:textId="77777777" w:rsidR="00C91E2A" w:rsidRPr="00304656" w:rsidRDefault="00C3280F" w:rsidP="0098541F">
            <w:pPr>
              <w:spacing w:after="0" w:line="240" w:lineRule="auto"/>
              <w:rPr>
                <w:rFonts w:ascii="Baskerville Old Face" w:hAnsi="Baskerville Old Face" w:cs="Arial"/>
                <w:sz w:val="20"/>
                <w:szCs w:val="20"/>
              </w:rPr>
            </w:pPr>
            <w:r w:rsidRPr="00C3280F">
              <w:rPr>
                <w:rFonts w:ascii="Baskerville Old Face" w:hAnsi="Baskerville Old Face" w:cs="Arial"/>
                <w:sz w:val="20"/>
                <w:szCs w:val="20"/>
              </w:rPr>
              <w:t>Please see III.B and III.C above.</w:t>
            </w:r>
          </w:p>
        </w:tc>
      </w:tr>
    </w:tbl>
    <w:p w14:paraId="1674D496" w14:textId="77777777"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304656" w14:paraId="47AB5C8E" w14:textId="77777777" w:rsidTr="00300FF7">
        <w:tc>
          <w:tcPr>
            <w:tcW w:w="810" w:type="dxa"/>
          </w:tcPr>
          <w:p w14:paraId="1B0C3B30" w14:textId="77777777"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14:paraId="3F4758DC" w14:textId="77777777"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7830" w:type="dxa"/>
            <w:shd w:val="clear" w:color="auto" w:fill="auto"/>
          </w:tcPr>
          <w:p w14:paraId="2F28C125" w14:textId="77777777" w:rsidR="00D75934" w:rsidRPr="007D3C1C" w:rsidRDefault="00D75934" w:rsidP="00300FF7">
            <w:pPr>
              <w:spacing w:after="0" w:line="240" w:lineRule="auto"/>
              <w:jc w:val="both"/>
              <w:rPr>
                <w:rFonts w:ascii="Baskerville Old Face" w:hAnsi="Baskerville Old Face" w:cs="Arial"/>
                <w:sz w:val="20"/>
                <w:szCs w:val="20"/>
              </w:rPr>
            </w:pPr>
          </w:p>
        </w:tc>
        <w:tc>
          <w:tcPr>
            <w:tcW w:w="3690" w:type="dxa"/>
          </w:tcPr>
          <w:p w14:paraId="49867E62" w14:textId="77777777"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14:paraId="3304191E" w14:textId="77777777" w:rsidTr="00300FF7">
        <w:tc>
          <w:tcPr>
            <w:tcW w:w="810" w:type="dxa"/>
          </w:tcPr>
          <w:p w14:paraId="140A7D18" w14:textId="77777777"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14:paraId="716DBC76" w14:textId="77777777" w:rsidR="007D3C1C" w:rsidRPr="00D00D1B" w:rsidRDefault="009E07D1" w:rsidP="00300FF7">
            <w:pPr>
              <w:spacing w:after="0" w:line="240" w:lineRule="auto"/>
              <w:rPr>
                <w:rFonts w:ascii="Baskerville Old Face" w:hAnsi="Baskerville Old Face" w:cs="Arial"/>
                <w:sz w:val="20"/>
                <w:szCs w:val="20"/>
              </w:rPr>
            </w:pPr>
            <w:r w:rsidRPr="00D00D1B">
              <w:rPr>
                <w:rFonts w:ascii="Baskerville Old Face" w:hAnsi="Baskerville Old Face" w:cs="Arial"/>
                <w:sz w:val="20"/>
                <w:szCs w:val="20"/>
              </w:rPr>
              <w:t>PLOAC Summary</w:t>
            </w:r>
          </w:p>
        </w:tc>
        <w:tc>
          <w:tcPr>
            <w:tcW w:w="7830" w:type="dxa"/>
            <w:shd w:val="clear" w:color="auto" w:fill="auto"/>
          </w:tcPr>
          <w:p w14:paraId="19E3E44B" w14:textId="77777777" w:rsidR="00F418F9" w:rsidRPr="003C5943" w:rsidRDefault="00F418F9" w:rsidP="00F3255A">
            <w:pPr>
              <w:spacing w:after="0" w:line="240" w:lineRule="auto"/>
              <w:jc w:val="both"/>
              <w:rPr>
                <w:rFonts w:ascii="Baskerville Old Face" w:hAnsi="Baskerville Old Face" w:cs="Arial"/>
                <w:color w:val="000000"/>
                <w:sz w:val="20"/>
                <w:szCs w:val="20"/>
              </w:rPr>
            </w:pPr>
            <w:r w:rsidRPr="003C5943">
              <w:rPr>
                <w:rFonts w:ascii="Baskerville Old Face" w:hAnsi="Baskerville Old Face" w:cs="Arial"/>
                <w:color w:val="000000"/>
                <w:sz w:val="20"/>
                <w:szCs w:val="20"/>
              </w:rPr>
              <w:t xml:space="preserve">Give the percentage of Program Level Outcome statements assessed to date. Run </w:t>
            </w:r>
            <w:r w:rsidR="00BB0B3D">
              <w:rPr>
                <w:rFonts w:ascii="Baskerville Old Face" w:hAnsi="Baskerville Old Face" w:cs="Arial"/>
                <w:color w:val="000000"/>
                <w:sz w:val="20"/>
                <w:szCs w:val="20"/>
              </w:rPr>
              <w:t>Ad H</w:t>
            </w:r>
            <w:r w:rsidRPr="003C5943">
              <w:rPr>
                <w:rFonts w:ascii="Baskerville Old Face" w:hAnsi="Baskerville Old Face" w:cs="Arial"/>
                <w:color w:val="000000"/>
                <w:sz w:val="20"/>
                <w:szCs w:val="20"/>
              </w:rPr>
              <w:t>oc report entitle</w:t>
            </w:r>
            <w:r w:rsidR="00D00D1B" w:rsidRPr="003C5943">
              <w:rPr>
                <w:rFonts w:ascii="Baskerville Old Face" w:hAnsi="Baskerville Old Face" w:cs="Arial"/>
                <w:color w:val="000000"/>
                <w:sz w:val="20"/>
                <w:szCs w:val="20"/>
              </w:rPr>
              <w:t>d “XXX PLOAC Work</w:t>
            </w:r>
            <w:r w:rsidRPr="003C5943">
              <w:rPr>
                <w:rFonts w:ascii="Baskerville Old Face" w:hAnsi="Baskerville Old Face" w:cs="Arial"/>
                <w:color w:val="000000"/>
                <w:sz w:val="20"/>
                <w:szCs w:val="20"/>
              </w:rPr>
              <w:t xml:space="preserve">” and scroll to the bottom of the report for counts. Then calculate #Reflections &amp; Analysis/#PLO statement times 100. This percentage may be over 100% or 0%. All </w:t>
            </w:r>
            <w:r w:rsidR="00F3255A">
              <w:rPr>
                <w:rFonts w:ascii="Baskerville Old Face" w:hAnsi="Baskerville Old Face" w:cs="Arial"/>
                <w:color w:val="000000"/>
                <w:sz w:val="20"/>
                <w:szCs w:val="20"/>
              </w:rPr>
              <w:t xml:space="preserve">program level outcomes </w:t>
            </w:r>
            <w:r w:rsidRPr="003C5943">
              <w:rPr>
                <w:rFonts w:ascii="Baskerville Old Face" w:hAnsi="Baskerville Old Face" w:cs="Arial"/>
                <w:color w:val="000000"/>
                <w:sz w:val="20"/>
                <w:szCs w:val="20"/>
              </w:rPr>
              <w:t xml:space="preserve">are to be assessed </w:t>
            </w:r>
            <w:r w:rsidR="00F3255A">
              <w:rPr>
                <w:rFonts w:ascii="Baskerville Old Face" w:hAnsi="Baskerville Old Face" w:cs="Arial"/>
                <w:color w:val="000000"/>
                <w:sz w:val="20"/>
                <w:szCs w:val="20"/>
              </w:rPr>
              <w:t xml:space="preserve">for a minimum of a second time </w:t>
            </w:r>
            <w:r w:rsidRPr="003C5943">
              <w:rPr>
                <w:rFonts w:ascii="Baskerville Old Face" w:hAnsi="Baskerville Old Face" w:cs="Arial"/>
                <w:color w:val="000000"/>
                <w:sz w:val="20"/>
                <w:szCs w:val="20"/>
              </w:rPr>
              <w:t>before the Comprehensive Program Review in Spring 2019.</w:t>
            </w:r>
          </w:p>
        </w:tc>
        <w:tc>
          <w:tcPr>
            <w:tcW w:w="3690" w:type="dxa"/>
          </w:tcPr>
          <w:p w14:paraId="56B9DA9A" w14:textId="77777777" w:rsidR="007D3C1C" w:rsidRPr="00C54633" w:rsidRDefault="00C5731F" w:rsidP="00300FF7">
            <w:pPr>
              <w:spacing w:after="0" w:line="240" w:lineRule="auto"/>
              <w:jc w:val="both"/>
              <w:rPr>
                <w:rFonts w:ascii="Baskerville Old Face" w:hAnsi="Baskerville Old Face" w:cs="Arial"/>
                <w:sz w:val="20"/>
                <w:szCs w:val="20"/>
                <w:highlight w:val="green"/>
              </w:rPr>
            </w:pPr>
            <w:r w:rsidRPr="00C5731F">
              <w:rPr>
                <w:rFonts w:ascii="Baskerville Old Face" w:hAnsi="Baskerville Old Face" w:cs="Arial"/>
                <w:sz w:val="20"/>
                <w:szCs w:val="20"/>
              </w:rPr>
              <w:t>0%.  At this time, we have not started Cycle 2 of the PLOAC process. The Humanities department plans to consult with the SLO coordinators to determine where in the SLOAC process the assessment of PLO's makes sense.</w:t>
            </w:r>
          </w:p>
        </w:tc>
      </w:tr>
      <w:tr w:rsidR="003353E7" w:rsidRPr="00304656" w14:paraId="1795BB6B" w14:textId="77777777" w:rsidTr="00300FF7">
        <w:tc>
          <w:tcPr>
            <w:tcW w:w="810" w:type="dxa"/>
          </w:tcPr>
          <w:p w14:paraId="3F445F34" w14:textId="77777777"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IV.B</w:t>
            </w:r>
          </w:p>
        </w:tc>
        <w:tc>
          <w:tcPr>
            <w:tcW w:w="2070" w:type="dxa"/>
            <w:shd w:val="clear" w:color="auto" w:fill="auto"/>
          </w:tcPr>
          <w:p w14:paraId="3D05166C" w14:textId="77777777" w:rsidR="007D3C1C" w:rsidRPr="00D338EA" w:rsidRDefault="007D3C1C" w:rsidP="00300FF7">
            <w:pPr>
              <w:spacing w:after="0" w:line="240" w:lineRule="auto"/>
              <w:rPr>
                <w:rFonts w:ascii="Baskerville Old Face" w:hAnsi="Baskerville Old Face" w:cs="Arial"/>
                <w:sz w:val="20"/>
                <w:szCs w:val="20"/>
              </w:rPr>
            </w:pPr>
            <w:r w:rsidRPr="00D338EA">
              <w:rPr>
                <w:rFonts w:ascii="Baskerville Old Face" w:hAnsi="Baskerville Old Face" w:cs="Arial"/>
                <w:sz w:val="20"/>
                <w:szCs w:val="20"/>
              </w:rPr>
              <w:t>SLOAC Summary</w:t>
            </w:r>
          </w:p>
        </w:tc>
        <w:tc>
          <w:tcPr>
            <w:tcW w:w="7830" w:type="dxa"/>
            <w:shd w:val="clear" w:color="auto" w:fill="auto"/>
          </w:tcPr>
          <w:p w14:paraId="073A007C" w14:textId="77777777" w:rsidR="007D3C1C" w:rsidRPr="00D338EA" w:rsidRDefault="00D54EF0" w:rsidP="00E548F7">
            <w:pPr>
              <w:spacing w:after="0" w:line="240" w:lineRule="auto"/>
              <w:rPr>
                <w:rFonts w:ascii="Baskerville Old Face" w:hAnsi="Baskerville Old Face" w:cs="Arial"/>
                <w:sz w:val="20"/>
                <w:szCs w:val="20"/>
              </w:rPr>
            </w:pPr>
            <w:r w:rsidRPr="00D54EF0">
              <w:rPr>
                <w:rFonts w:ascii="Baskerville Old Face" w:hAnsi="Baskerville Old Face" w:cs="Arial"/>
                <w:sz w:val="20"/>
                <w:szCs w:val="20"/>
              </w:rPr>
              <w:t>Give the percentage of Student Level Outcome statements assessed t</w:t>
            </w:r>
            <w:r w:rsidR="00BB0B3D">
              <w:rPr>
                <w:rFonts w:ascii="Baskerville Old Face" w:hAnsi="Baskerville Old Face" w:cs="Arial"/>
                <w:sz w:val="20"/>
                <w:szCs w:val="20"/>
              </w:rPr>
              <w:t>o date. Run Ad H</w:t>
            </w:r>
            <w:r w:rsidR="006A22C0">
              <w:rPr>
                <w:rFonts w:ascii="Baskerville Old Face" w:hAnsi="Baskerville Old Face" w:cs="Arial"/>
                <w:sz w:val="20"/>
                <w:szCs w:val="20"/>
              </w:rPr>
              <w:t xml:space="preserve">oc report </w:t>
            </w:r>
            <w:r>
              <w:rPr>
                <w:rFonts w:ascii="Baskerville Old Face" w:hAnsi="Baskerville Old Face" w:cs="Arial"/>
                <w:sz w:val="20"/>
                <w:szCs w:val="20"/>
              </w:rPr>
              <w:t>titled “XXX</w:t>
            </w:r>
            <w:r w:rsidRPr="00D54EF0">
              <w:rPr>
                <w:rFonts w:ascii="Baskerville Old Face" w:hAnsi="Baskerville Old Face" w:cs="Arial"/>
                <w:sz w:val="20"/>
                <w:szCs w:val="20"/>
              </w:rPr>
              <w:t xml:space="preserve"> SLOAC work</w:t>
            </w:r>
            <w:r w:rsidRPr="003C5943">
              <w:rPr>
                <w:rFonts w:ascii="Baskerville Old Face" w:hAnsi="Baskerville Old Face" w:cs="Arial"/>
                <w:color w:val="000000"/>
                <w:sz w:val="20"/>
                <w:szCs w:val="20"/>
              </w:rPr>
              <w:t>- Active Only</w:t>
            </w:r>
            <w:r w:rsidRPr="00D54EF0">
              <w:rPr>
                <w:rFonts w:ascii="Baskerville Old Face" w:hAnsi="Baskerville Old Face" w:cs="Arial"/>
                <w:sz w:val="20"/>
                <w:szCs w:val="20"/>
              </w:rPr>
              <w:t xml:space="preserve">” and scroll to the bottom of the report for counts. Then calculate #(Reflections &amp; Analysis + #Archived from ECMS) /#SLO statement times 100. </w:t>
            </w:r>
            <w:r w:rsidR="00F3255A">
              <w:rPr>
                <w:rFonts w:ascii="Baskerville Old Face" w:hAnsi="Baskerville Old Face" w:cs="Arial"/>
                <w:sz w:val="20"/>
                <w:szCs w:val="20"/>
              </w:rPr>
              <w:t>(N.B. Number of SLOs assessed and archived from ECMS is the last item in Department -&gt; General Information</w:t>
            </w:r>
            <w:r w:rsidR="00E548F7">
              <w:rPr>
                <w:rFonts w:ascii="Baskerville Old Face" w:hAnsi="Baskerville Old Face" w:cs="Arial"/>
                <w:sz w:val="20"/>
                <w:szCs w:val="20"/>
              </w:rPr>
              <w:t xml:space="preserve"> page</w:t>
            </w:r>
            <w:r w:rsidR="00F3255A">
              <w:rPr>
                <w:rFonts w:ascii="Baskerville Old Face" w:hAnsi="Baskerville Old Face" w:cs="Arial"/>
                <w:sz w:val="20"/>
                <w:szCs w:val="20"/>
              </w:rPr>
              <w:t xml:space="preserve">.) </w:t>
            </w:r>
            <w:r w:rsidRPr="00D54EF0">
              <w:rPr>
                <w:rFonts w:ascii="Baskerville Old Face" w:hAnsi="Baskerville Old Face" w:cs="Arial"/>
                <w:sz w:val="20"/>
                <w:szCs w:val="20"/>
              </w:rPr>
              <w:t xml:space="preserve">This percentage may be over 100% or 0%. </w:t>
            </w:r>
            <w:r w:rsidR="007D3C1C" w:rsidRPr="00D00D1B">
              <w:rPr>
                <w:rFonts w:ascii="Baskerville Old Face" w:hAnsi="Baskerville Old Face" w:cs="Arial"/>
                <w:sz w:val="20"/>
                <w:szCs w:val="20"/>
              </w:rPr>
              <w:t xml:space="preserve">All </w:t>
            </w:r>
            <w:r w:rsidR="00E548F7">
              <w:rPr>
                <w:rFonts w:ascii="Baskerville Old Face" w:hAnsi="Baskerville Old Face" w:cs="Arial"/>
                <w:sz w:val="20"/>
                <w:szCs w:val="20"/>
              </w:rPr>
              <w:t>course level outcomes</w:t>
            </w:r>
            <w:r>
              <w:rPr>
                <w:rFonts w:ascii="Baskerville Old Face" w:hAnsi="Baskerville Old Face" w:cs="Arial"/>
                <w:sz w:val="20"/>
                <w:szCs w:val="20"/>
              </w:rPr>
              <w:t xml:space="preserve"> are to be assessed for a minimum of a</w:t>
            </w:r>
            <w:r w:rsidR="007D3C1C" w:rsidRPr="00B334E6">
              <w:rPr>
                <w:rFonts w:ascii="Baskerville Old Face" w:hAnsi="Baskerville Old Face" w:cs="Arial"/>
                <w:sz w:val="20"/>
                <w:szCs w:val="20"/>
              </w:rPr>
              <w:t xml:space="preserve"> second time before the Comprehensive Program Review in Spring 2019.</w:t>
            </w:r>
          </w:p>
        </w:tc>
        <w:tc>
          <w:tcPr>
            <w:tcW w:w="3690" w:type="dxa"/>
          </w:tcPr>
          <w:p w14:paraId="573140F4" w14:textId="77777777" w:rsidR="007D3C1C" w:rsidRPr="009C416B" w:rsidRDefault="00CB6BF0"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7.7%. </w:t>
            </w:r>
            <w:r w:rsidR="00C5731F" w:rsidRPr="00C5731F">
              <w:rPr>
                <w:rFonts w:ascii="Baskerville Old Face" w:hAnsi="Baskerville Old Face" w:cs="Arial"/>
                <w:sz w:val="20"/>
                <w:szCs w:val="20"/>
              </w:rPr>
              <w:t>The Humanities department has developed a plan with the SLO coordinators to align the SLOAC process with our 5 year curriculum revision plan.  This will ensure that SLO's become a regular part of our yearly routine.</w:t>
            </w:r>
          </w:p>
        </w:tc>
      </w:tr>
      <w:tr w:rsidR="00D75934" w:rsidRPr="00304656" w14:paraId="20FE2DBC" w14:textId="77777777" w:rsidTr="00300FF7">
        <w:tc>
          <w:tcPr>
            <w:tcW w:w="810" w:type="dxa"/>
          </w:tcPr>
          <w:p w14:paraId="6643A520" w14:textId="77777777"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4C22B1BD" w14:textId="77777777"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7830" w:type="dxa"/>
            <w:shd w:val="clear" w:color="auto" w:fill="auto"/>
          </w:tcPr>
          <w:p w14:paraId="6A0975D3" w14:textId="77777777" w:rsidR="00D75934" w:rsidRDefault="00D75934" w:rsidP="00300FF7">
            <w:pPr>
              <w:spacing w:after="0" w:line="240" w:lineRule="auto"/>
              <w:rPr>
                <w:rFonts w:ascii="Baskerville Old Face" w:hAnsi="Baskerville Old Face" w:cs="Arial"/>
                <w:sz w:val="20"/>
                <w:szCs w:val="20"/>
              </w:rPr>
            </w:pPr>
          </w:p>
        </w:tc>
        <w:tc>
          <w:tcPr>
            <w:tcW w:w="3690" w:type="dxa"/>
          </w:tcPr>
          <w:p w14:paraId="07FA1B83" w14:textId="77777777" w:rsidR="00D75934" w:rsidRPr="00304656" w:rsidRDefault="00D75934" w:rsidP="00300FF7">
            <w:pPr>
              <w:spacing w:after="0" w:line="240" w:lineRule="auto"/>
              <w:rPr>
                <w:rFonts w:ascii="Baskerville Old Face" w:hAnsi="Baskerville Old Face" w:cs="Arial"/>
                <w:sz w:val="20"/>
                <w:szCs w:val="20"/>
              </w:rPr>
            </w:pPr>
          </w:p>
        </w:tc>
      </w:tr>
      <w:tr w:rsidR="003353E7" w:rsidRPr="00304656" w14:paraId="303C31D5" w14:textId="77777777" w:rsidTr="00300FF7">
        <w:tc>
          <w:tcPr>
            <w:tcW w:w="810" w:type="dxa"/>
          </w:tcPr>
          <w:p w14:paraId="522D412A"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14:paraId="2D29C71E"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7830" w:type="dxa"/>
            <w:shd w:val="clear" w:color="auto" w:fill="auto"/>
          </w:tcPr>
          <w:p w14:paraId="36C8A217"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14:paraId="49FF1E2D" w14:textId="77777777"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3690" w:type="dxa"/>
          </w:tcPr>
          <w:p w14:paraId="5B358BAC"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641D569B" w14:textId="77777777" w:rsidTr="00300FF7">
        <w:tc>
          <w:tcPr>
            <w:tcW w:w="810" w:type="dxa"/>
          </w:tcPr>
          <w:p w14:paraId="105084E2" w14:textId="77777777"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14:paraId="7C069708" w14:textId="77777777"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7830" w:type="dxa"/>
            <w:shd w:val="clear" w:color="auto" w:fill="auto"/>
          </w:tcPr>
          <w:p w14:paraId="23DD124E" w14:textId="77777777"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2"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3690" w:type="dxa"/>
          </w:tcPr>
          <w:p w14:paraId="731412AC"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00313C4B" w14:textId="77777777" w:rsidTr="00300FF7">
        <w:tc>
          <w:tcPr>
            <w:tcW w:w="810" w:type="dxa"/>
          </w:tcPr>
          <w:p w14:paraId="5490578B"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D00D1B">
              <w:rPr>
                <w:rStyle w:val="afoutputlabel"/>
                <w:rFonts w:ascii="Baskerville Old Face" w:hAnsi="Baskerville Old Face" w:cs="Arial"/>
                <w:sz w:val="18"/>
                <w:szCs w:val="18"/>
              </w:rPr>
              <w:t>1</w:t>
            </w:r>
          </w:p>
        </w:tc>
        <w:tc>
          <w:tcPr>
            <w:tcW w:w="2070" w:type="dxa"/>
            <w:shd w:val="clear" w:color="auto" w:fill="auto"/>
          </w:tcPr>
          <w:p w14:paraId="407B442A"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53F2E2D6" w14:textId="77777777"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3690" w:type="dxa"/>
          </w:tcPr>
          <w:p w14:paraId="27F514F1"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7C66585B" w14:textId="77777777" w:rsidTr="00300FF7">
        <w:tc>
          <w:tcPr>
            <w:tcW w:w="810" w:type="dxa"/>
          </w:tcPr>
          <w:p w14:paraId="7BE2BB72"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14:paraId="443DF914"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18895573" w14:textId="77777777" w:rsidR="007D3C1C" w:rsidRPr="00E93D67"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enhancement that support this need.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3690" w:type="dxa"/>
          </w:tcPr>
          <w:p w14:paraId="679FE6CE" w14:textId="77777777" w:rsidR="007D3C1C" w:rsidRDefault="007D3C1C" w:rsidP="00300FF7">
            <w:pPr>
              <w:spacing w:after="0" w:line="240" w:lineRule="auto"/>
              <w:rPr>
                <w:rFonts w:ascii="Baskerville Old Face" w:hAnsi="Baskerville Old Face" w:cs="Arial"/>
                <w:sz w:val="20"/>
                <w:szCs w:val="20"/>
              </w:rPr>
            </w:pPr>
          </w:p>
        </w:tc>
      </w:tr>
      <w:tr w:rsidR="003353E7" w:rsidRPr="00304656" w14:paraId="06CCA289" w14:textId="77777777" w:rsidTr="00300FF7">
        <w:tc>
          <w:tcPr>
            <w:tcW w:w="810" w:type="dxa"/>
          </w:tcPr>
          <w:p w14:paraId="7D588DFF"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sidR="00D00D1B">
              <w:rPr>
                <w:rStyle w:val="afoutputlabel"/>
                <w:rFonts w:ascii="Baskerville Old Face" w:hAnsi="Baskerville Old Face" w:cs="Arial"/>
                <w:sz w:val="18"/>
                <w:szCs w:val="18"/>
              </w:rPr>
              <w:t>.1</w:t>
            </w:r>
          </w:p>
        </w:tc>
        <w:tc>
          <w:tcPr>
            <w:tcW w:w="2070" w:type="dxa"/>
            <w:shd w:val="clear" w:color="auto" w:fill="auto"/>
          </w:tcPr>
          <w:p w14:paraId="494C620D"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14:paraId="125A74A7" w14:textId="77777777"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None Needed Unless Vacancy</w:t>
            </w:r>
          </w:p>
          <w:p w14:paraId="3339DBAC" w14:textId="77777777"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3690" w:type="dxa"/>
          </w:tcPr>
          <w:p w14:paraId="4DAD2761"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18445AC3" w14:textId="77777777" w:rsidTr="00300FF7">
        <w:tc>
          <w:tcPr>
            <w:tcW w:w="810" w:type="dxa"/>
          </w:tcPr>
          <w:p w14:paraId="738423A1"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V.D.2</w:t>
            </w:r>
          </w:p>
        </w:tc>
        <w:tc>
          <w:tcPr>
            <w:tcW w:w="2070" w:type="dxa"/>
            <w:shd w:val="clear" w:color="auto" w:fill="auto"/>
          </w:tcPr>
          <w:p w14:paraId="2F57CABB"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14:paraId="5609297F" w14:textId="77777777" w:rsidR="007D3C1C" w:rsidRPr="00E93D67"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3690" w:type="dxa"/>
          </w:tcPr>
          <w:p w14:paraId="3889C481"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5D27D190" w14:textId="77777777" w:rsidTr="00300FF7">
        <w:tc>
          <w:tcPr>
            <w:tcW w:w="810" w:type="dxa"/>
          </w:tcPr>
          <w:p w14:paraId="115AB2C6"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14:paraId="5F8917CA"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7830" w:type="dxa"/>
            <w:shd w:val="clear" w:color="auto" w:fill="auto"/>
          </w:tcPr>
          <w:p w14:paraId="296293A0" w14:textId="77777777"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3690" w:type="dxa"/>
          </w:tcPr>
          <w:p w14:paraId="45C6228A"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74089FAB" w14:textId="77777777" w:rsidTr="00300FF7">
        <w:tc>
          <w:tcPr>
            <w:tcW w:w="810" w:type="dxa"/>
          </w:tcPr>
          <w:p w14:paraId="5B9F5B73"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14:paraId="0B843853" w14:textId="77777777"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7830" w:type="dxa"/>
            <w:shd w:val="clear" w:color="auto" w:fill="auto"/>
          </w:tcPr>
          <w:p w14:paraId="6A71910E"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14:paraId="21D6BC2D" w14:textId="77777777"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14:paraId="45FDC803" w14:textId="77777777"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water or heat sources . . . )</w:t>
            </w:r>
          </w:p>
        </w:tc>
        <w:tc>
          <w:tcPr>
            <w:tcW w:w="3690" w:type="dxa"/>
          </w:tcPr>
          <w:p w14:paraId="33EF07BD"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691258E2" w14:textId="77777777" w:rsidTr="00300FF7">
        <w:tc>
          <w:tcPr>
            <w:tcW w:w="810" w:type="dxa"/>
          </w:tcPr>
          <w:p w14:paraId="09E2644D"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3</w:t>
            </w:r>
          </w:p>
        </w:tc>
        <w:tc>
          <w:tcPr>
            <w:tcW w:w="2070" w:type="dxa"/>
            <w:shd w:val="clear" w:color="auto" w:fill="auto"/>
          </w:tcPr>
          <w:p w14:paraId="4D2E9724"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7830" w:type="dxa"/>
            <w:shd w:val="clear" w:color="auto" w:fill="auto"/>
          </w:tcPr>
          <w:p w14:paraId="0F6930A0" w14:textId="77777777"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support this need. If not, provide other data to support this need</w:t>
            </w:r>
            <w:r w:rsidR="007D3C1C" w:rsidRPr="00866D17">
              <w:rPr>
                <w:rFonts w:ascii="Baskerville Old Face" w:hAnsi="Baskerville Old Face" w:cs="Arial"/>
                <w:sz w:val="20"/>
                <w:szCs w:val="20"/>
              </w:rPr>
              <w:t xml:space="preserve">. </w:t>
            </w:r>
          </w:p>
          <w:p w14:paraId="517B16DB"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14:paraId="7A28BA41"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14:paraId="077E42A2"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14:paraId="11CEED70" w14:textId="77777777"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t xml:space="preserve"> mission: </w:t>
            </w:r>
            <w:hyperlink r:id="rId23"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15 </w:t>
            </w:r>
            <w:r w:rsidR="00757E2D">
              <w:t xml:space="preserve"> </w:t>
            </w:r>
            <w:hyperlink r:id="rId24" w:history="1">
              <w:r w:rsidR="00757E2D" w:rsidRPr="007C19E0">
                <w:rPr>
                  <w:rStyle w:val="Hyperlink"/>
                  <w:rFonts w:ascii="Baskerville Old Face" w:hAnsi="Baskerville Old Face" w:cs="Arial"/>
                  <w:sz w:val="20"/>
                  <w:szCs w:val="20"/>
                </w:rPr>
                <w:t>http://www.deanza.edu/emp/pdf/EMP2015-2020_11-18-15.pdf</w:t>
              </w:r>
            </w:hyperlink>
            <w:r w:rsidR="00757E2D">
              <w:rPr>
                <w:rFonts w:ascii="Baskerville Old Face" w:hAnsi="Baskerville Old Face" w:cs="Arial"/>
                <w:sz w:val="20"/>
                <w:szCs w:val="20"/>
              </w:rPr>
              <w:t xml:space="preserve"> </w:t>
            </w:r>
          </w:p>
        </w:tc>
        <w:tc>
          <w:tcPr>
            <w:tcW w:w="3690" w:type="dxa"/>
          </w:tcPr>
          <w:p w14:paraId="4A779816"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3FF46943" w14:textId="77777777" w:rsidTr="00300FF7">
        <w:tc>
          <w:tcPr>
            <w:tcW w:w="810" w:type="dxa"/>
          </w:tcPr>
          <w:p w14:paraId="7FE8CE95" w14:textId="77777777"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sidR="00D00D1B">
              <w:rPr>
                <w:rStyle w:val="afoutputlabel"/>
                <w:rFonts w:ascii="Baskerville Old Face" w:hAnsi="Baskerville Old Face" w:cs="Arial"/>
                <w:sz w:val="18"/>
                <w:szCs w:val="18"/>
              </w:rPr>
              <w:t>.1</w:t>
            </w:r>
          </w:p>
        </w:tc>
        <w:tc>
          <w:tcPr>
            <w:tcW w:w="2070" w:type="dxa"/>
            <w:shd w:val="clear" w:color="auto" w:fill="auto"/>
          </w:tcPr>
          <w:p w14:paraId="214A2D55"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7830" w:type="dxa"/>
            <w:shd w:val="clear" w:color="auto" w:fill="auto"/>
          </w:tcPr>
          <w:p w14:paraId="35B9CB74" w14:textId="77777777"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3690" w:type="dxa"/>
          </w:tcPr>
          <w:p w14:paraId="33BEF61C" w14:textId="77777777" w:rsidR="007D3C1C" w:rsidRPr="00C178B3" w:rsidRDefault="007D3C1C" w:rsidP="00300FF7">
            <w:pPr>
              <w:spacing w:after="0" w:line="240" w:lineRule="auto"/>
              <w:rPr>
                <w:rFonts w:ascii="Baskerville Old Face" w:hAnsi="Baskerville Old Face" w:cs="Arial"/>
                <w:sz w:val="20"/>
                <w:szCs w:val="20"/>
              </w:rPr>
            </w:pPr>
          </w:p>
        </w:tc>
      </w:tr>
      <w:tr w:rsidR="003353E7" w:rsidRPr="00304656" w14:paraId="66200AF5" w14:textId="77777777" w:rsidTr="00300FF7">
        <w:tc>
          <w:tcPr>
            <w:tcW w:w="810" w:type="dxa"/>
          </w:tcPr>
          <w:p w14:paraId="1E77080F" w14:textId="77777777"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14:paraId="577CDD52"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7830" w:type="dxa"/>
            <w:shd w:val="clear" w:color="auto" w:fill="auto"/>
          </w:tcPr>
          <w:p w14:paraId="6C4383A1" w14:textId="77777777"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14:paraId="751DA674"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14:paraId="0D87B0CC"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14:paraId="299630F1" w14:textId="77777777"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14:paraId="01E05530" w14:textId="77777777"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3690" w:type="dxa"/>
          </w:tcPr>
          <w:p w14:paraId="1630B86E" w14:textId="77777777" w:rsidR="007D3C1C" w:rsidRPr="00304656" w:rsidRDefault="007D3C1C" w:rsidP="00300FF7">
            <w:pPr>
              <w:spacing w:after="0" w:line="240" w:lineRule="auto"/>
              <w:rPr>
                <w:rFonts w:ascii="Baskerville Old Face" w:hAnsi="Baskerville Old Face" w:cs="Arial"/>
                <w:sz w:val="20"/>
                <w:szCs w:val="20"/>
              </w:rPr>
            </w:pPr>
          </w:p>
        </w:tc>
      </w:tr>
      <w:tr w:rsidR="00CB47F9" w:rsidRPr="00304656" w14:paraId="18881078" w14:textId="77777777" w:rsidTr="00300FF7">
        <w:trPr>
          <w:trHeight w:val="305"/>
        </w:trPr>
        <w:tc>
          <w:tcPr>
            <w:tcW w:w="810" w:type="dxa"/>
          </w:tcPr>
          <w:p w14:paraId="76515648" w14:textId="77777777"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14:paraId="2967FCF9" w14:textId="77777777"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7830" w:type="dxa"/>
            <w:shd w:val="clear" w:color="auto" w:fill="auto"/>
          </w:tcPr>
          <w:p w14:paraId="156096D4" w14:textId="77777777"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3690" w:type="dxa"/>
          </w:tcPr>
          <w:p w14:paraId="35870999" w14:textId="77777777" w:rsidR="00CB47F9" w:rsidRPr="00C178B3" w:rsidRDefault="00CB47F9" w:rsidP="00300FF7">
            <w:pPr>
              <w:spacing w:after="0" w:line="240" w:lineRule="auto"/>
              <w:rPr>
                <w:rFonts w:ascii="Baskerville Old Face" w:hAnsi="Baskerville Old Face" w:cs="Arial"/>
                <w:sz w:val="20"/>
                <w:szCs w:val="20"/>
              </w:rPr>
            </w:pPr>
          </w:p>
        </w:tc>
      </w:tr>
      <w:tr w:rsidR="003353E7" w:rsidRPr="00304656" w14:paraId="1F68E1F0" w14:textId="77777777" w:rsidTr="00300FF7">
        <w:trPr>
          <w:trHeight w:val="305"/>
        </w:trPr>
        <w:tc>
          <w:tcPr>
            <w:tcW w:w="810" w:type="dxa"/>
          </w:tcPr>
          <w:p w14:paraId="36EC95EC" w14:textId="77777777"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14:paraId="2D405FC5" w14:textId="77777777"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w:t>
            </w:r>
          </w:p>
        </w:tc>
        <w:tc>
          <w:tcPr>
            <w:tcW w:w="7830" w:type="dxa"/>
            <w:shd w:val="clear" w:color="auto" w:fill="auto"/>
          </w:tcPr>
          <w:p w14:paraId="19A6C4A9" w14:textId="77777777"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List resource needs other than faculty, staff, facility, and equipment needs. For instance, 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3690" w:type="dxa"/>
          </w:tcPr>
          <w:p w14:paraId="2DD354CC" w14:textId="77777777" w:rsidR="007D3C1C" w:rsidRPr="00C178B3" w:rsidRDefault="001763A2" w:rsidP="00300FF7">
            <w:pPr>
              <w:spacing w:after="0" w:line="240" w:lineRule="auto"/>
              <w:rPr>
                <w:rFonts w:ascii="Baskerville Old Face" w:hAnsi="Baskerville Old Face" w:cs="Arial"/>
                <w:sz w:val="20"/>
                <w:szCs w:val="20"/>
              </w:rPr>
            </w:pPr>
            <w:r w:rsidRPr="001763A2">
              <w:rPr>
                <w:rFonts w:ascii="Baskerville Old Face" w:hAnsi="Baskerville Old Face" w:cs="Arial"/>
                <w:sz w:val="20"/>
                <w:szCs w:val="20"/>
              </w:rPr>
              <w:t>We strongly encourage the institution to decrease all faculty workload through adjustments in Load and Class Size.</w:t>
            </w:r>
          </w:p>
        </w:tc>
      </w:tr>
      <w:tr w:rsidR="00D00D1B" w:rsidRPr="00304656" w14:paraId="692FAD76" w14:textId="77777777" w:rsidTr="00300FF7">
        <w:trPr>
          <w:trHeight w:val="305"/>
        </w:trPr>
        <w:tc>
          <w:tcPr>
            <w:tcW w:w="810" w:type="dxa"/>
          </w:tcPr>
          <w:p w14:paraId="15B08723" w14:textId="77777777"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V.H.2</w:t>
            </w:r>
          </w:p>
        </w:tc>
        <w:tc>
          <w:tcPr>
            <w:tcW w:w="2070" w:type="dxa"/>
            <w:shd w:val="clear" w:color="auto" w:fill="auto"/>
          </w:tcPr>
          <w:p w14:paraId="303D001D" w14:textId="77777777"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7830" w:type="dxa"/>
            <w:shd w:val="clear" w:color="auto" w:fill="auto"/>
          </w:tcPr>
          <w:p w14:paraId="2F3A2D6E" w14:textId="77777777"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14:paraId="65EDA715" w14:textId="77777777" w:rsidR="00D00D1B" w:rsidRPr="00C178B3" w:rsidRDefault="001763A2" w:rsidP="00300FF7">
            <w:pPr>
              <w:spacing w:after="0" w:line="240" w:lineRule="auto"/>
              <w:rPr>
                <w:rFonts w:ascii="Baskerville Old Face" w:hAnsi="Baskerville Old Face" w:cs="Arial"/>
                <w:sz w:val="20"/>
                <w:szCs w:val="20"/>
              </w:rPr>
            </w:pPr>
            <w:r w:rsidRPr="001763A2">
              <w:rPr>
                <w:rFonts w:ascii="Baskerville Old Face" w:hAnsi="Baskerville Old Face" w:cs="Arial"/>
                <w:sz w:val="20"/>
                <w:szCs w:val="20"/>
              </w:rPr>
              <w:t>We see the recent changes in Load and Class Size, while intended to create greater parity, as a part of a movement toward standardization that is demoralizing for faculty. The recent increases in Load and Class Size make it more difficult for Humanities faculty to offer a real depth of transformative experience for students, as they require faculty to do more work, for less p</w:t>
            </w:r>
            <w:r>
              <w:rPr>
                <w:rFonts w:ascii="Baskerville Old Face" w:hAnsi="Baskerville Old Face" w:cs="Arial"/>
                <w:sz w:val="20"/>
                <w:szCs w:val="20"/>
              </w:rPr>
              <w:t>ay.  A decrease in faculty work</w:t>
            </w:r>
            <w:r w:rsidRPr="001763A2">
              <w:rPr>
                <w:rFonts w:ascii="Baskerville Old Face" w:hAnsi="Baskerville Old Face" w:cs="Arial"/>
                <w:sz w:val="20"/>
                <w:szCs w:val="20"/>
              </w:rPr>
              <w:t>load would allow for greater individual attention to each student.</w:t>
            </w:r>
          </w:p>
        </w:tc>
      </w:tr>
      <w:tr w:rsidR="003353E7" w:rsidRPr="00304656" w14:paraId="158CC0B9" w14:textId="77777777" w:rsidTr="00300FF7">
        <w:trPr>
          <w:trHeight w:val="305"/>
        </w:trPr>
        <w:tc>
          <w:tcPr>
            <w:tcW w:w="810" w:type="dxa"/>
          </w:tcPr>
          <w:p w14:paraId="651E8A17"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14:paraId="5FA488B8" w14:textId="77777777"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7830" w:type="dxa"/>
            <w:shd w:val="clear" w:color="auto" w:fill="auto"/>
          </w:tcPr>
          <w:p w14:paraId="461DD80E" w14:textId="77777777" w:rsidR="00CF6AB0" w:rsidRDefault="007D3C1C" w:rsidP="006A22C0">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 xml:space="preserve">How much?  Who/what could be supported if this additional funding was awarded?  What would the impact be on the program with or without the funds? How does the request promote the college mission or strategic goals? </w:t>
            </w:r>
            <w:r w:rsidR="006A22C0">
              <w:rPr>
                <w:rFonts w:ascii="Baskerville Old Face" w:hAnsi="Baskerville Old Face" w:cs="Arial"/>
                <w:sz w:val="20"/>
                <w:szCs w:val="20"/>
              </w:rPr>
              <w:t xml:space="preserve"> Refer to</w:t>
            </w:r>
            <w:r w:rsidR="006A22C0">
              <w:t xml:space="preserve"> mission: </w:t>
            </w:r>
            <w:hyperlink r:id="rId25"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r w:rsidR="006A22C0" w:rsidRPr="00486B85">
              <w:rPr>
                <w:rFonts w:ascii="Baskerville Old Face" w:hAnsi="Baskerville Old Face" w:cs="Arial"/>
                <w:sz w:val="20"/>
                <w:szCs w:val="20"/>
              </w:rPr>
              <w:t>http://www.deanza.edu/emp/pdf/EMP2015-2020_11-18-15.pdf</w:t>
            </w:r>
          </w:p>
          <w:p w14:paraId="01F6696E" w14:textId="77777777" w:rsidR="00CF6AB0" w:rsidRDefault="00CF6AB0" w:rsidP="00300FF7">
            <w:pPr>
              <w:spacing w:after="0" w:line="240" w:lineRule="auto"/>
              <w:rPr>
                <w:rFonts w:ascii="Baskerville Old Face" w:hAnsi="Baskerville Old Face" w:cs="Arial"/>
                <w:sz w:val="20"/>
                <w:szCs w:val="20"/>
              </w:rPr>
            </w:pPr>
          </w:p>
          <w:p w14:paraId="65375A5B" w14:textId="77777777"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Pr="00C50CC1">
              <w:rPr>
                <w:rFonts w:ascii="Baskerville Old Face" w:hAnsi="Baskerville Old Face" w:cs="Arial"/>
                <w:sz w:val="20"/>
                <w:szCs w:val="20"/>
              </w:rPr>
              <w:t xml:space="preserve"> support this need.</w:t>
            </w:r>
          </w:p>
          <w:p w14:paraId="17923426" w14:textId="77777777" w:rsidR="00CF6AB0" w:rsidRPr="00C178B3" w:rsidRDefault="00CF6AB0" w:rsidP="00300FF7">
            <w:pPr>
              <w:spacing w:after="0" w:line="240" w:lineRule="auto"/>
              <w:rPr>
                <w:rFonts w:ascii="Baskerville Old Face" w:hAnsi="Baskerville Old Face" w:cs="Arial"/>
                <w:sz w:val="20"/>
                <w:szCs w:val="20"/>
              </w:rPr>
            </w:pPr>
          </w:p>
          <w:p w14:paraId="5EE74D2D" w14:textId="77777777"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3690" w:type="dxa"/>
          </w:tcPr>
          <w:p w14:paraId="6A889A1A" w14:textId="77777777" w:rsidR="007D3C1C" w:rsidRPr="00C178B3" w:rsidRDefault="007D3C1C" w:rsidP="00300FF7">
            <w:pPr>
              <w:spacing w:after="0" w:line="240" w:lineRule="auto"/>
              <w:rPr>
                <w:rFonts w:ascii="Baskerville Old Face" w:hAnsi="Baskerville Old Face" w:cs="Arial"/>
                <w:sz w:val="20"/>
                <w:szCs w:val="20"/>
              </w:rPr>
            </w:pPr>
          </w:p>
        </w:tc>
      </w:tr>
      <w:tr w:rsidR="003353E7" w:rsidRPr="00304656" w14:paraId="6DB58850" w14:textId="77777777" w:rsidTr="00300FF7">
        <w:tc>
          <w:tcPr>
            <w:tcW w:w="810" w:type="dxa"/>
          </w:tcPr>
          <w:p w14:paraId="53CA348D" w14:textId="77777777"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D00D1B">
              <w:rPr>
                <w:rStyle w:val="afoutputlabel"/>
                <w:rFonts w:ascii="Baskerville Old Face" w:hAnsi="Baskerville Old Face" w:cs="Arial"/>
                <w:sz w:val="18"/>
                <w:szCs w:val="18"/>
              </w:rPr>
              <w:t>K..1</w:t>
            </w:r>
          </w:p>
        </w:tc>
        <w:tc>
          <w:tcPr>
            <w:tcW w:w="2070" w:type="dxa"/>
            <w:shd w:val="clear" w:color="auto" w:fill="auto"/>
          </w:tcPr>
          <w:p w14:paraId="0F4ED9AC" w14:textId="77777777"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7830" w:type="dxa"/>
            <w:shd w:val="clear" w:color="auto" w:fill="auto"/>
          </w:tcPr>
          <w:p w14:paraId="5F0143CB" w14:textId="77777777"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6"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hyperlink r:id="rId27"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3690" w:type="dxa"/>
          </w:tcPr>
          <w:p w14:paraId="4E92B84F" w14:textId="77777777" w:rsidR="007D3C1C" w:rsidRPr="00304656" w:rsidRDefault="007D3C1C" w:rsidP="00300FF7">
            <w:pPr>
              <w:spacing w:after="0" w:line="240" w:lineRule="auto"/>
              <w:rPr>
                <w:rFonts w:ascii="Baskerville Old Face" w:hAnsi="Baskerville Old Face" w:cs="Arial"/>
                <w:sz w:val="20"/>
                <w:szCs w:val="20"/>
              </w:rPr>
            </w:pPr>
          </w:p>
        </w:tc>
      </w:tr>
      <w:tr w:rsidR="00D00D1B" w:rsidRPr="00304656" w14:paraId="40963C3F" w14:textId="77777777" w:rsidTr="00300FF7">
        <w:tc>
          <w:tcPr>
            <w:tcW w:w="810" w:type="dxa"/>
          </w:tcPr>
          <w:p w14:paraId="683B4831" w14:textId="77777777"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14:paraId="454D65A1" w14:textId="77777777" w:rsidR="00D00D1B" w:rsidRDefault="00D00D1B" w:rsidP="00300FF7">
            <w:pPr>
              <w:spacing w:after="0" w:line="240" w:lineRule="auto"/>
              <w:rPr>
                <w:rStyle w:val="afoutputlabel"/>
                <w:sz w:val="20"/>
                <w:szCs w:val="20"/>
              </w:rPr>
            </w:pPr>
            <w:r>
              <w:rPr>
                <w:rStyle w:val="afoutputlabel"/>
                <w:sz w:val="20"/>
                <w:szCs w:val="20"/>
              </w:rPr>
              <w:t>Staff Development Needs Justification</w:t>
            </w:r>
          </w:p>
        </w:tc>
        <w:tc>
          <w:tcPr>
            <w:tcW w:w="7830" w:type="dxa"/>
            <w:shd w:val="clear" w:color="auto" w:fill="auto"/>
          </w:tcPr>
          <w:p w14:paraId="4540A58F" w14:textId="77777777"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staff development? If so, 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3690" w:type="dxa"/>
          </w:tcPr>
          <w:p w14:paraId="5C1C3125" w14:textId="77777777" w:rsidR="00D00D1B" w:rsidRPr="00304656" w:rsidRDefault="00D00D1B" w:rsidP="00300FF7">
            <w:pPr>
              <w:spacing w:after="0" w:line="240" w:lineRule="auto"/>
              <w:rPr>
                <w:rFonts w:ascii="Baskerville Old Face" w:hAnsi="Baskerville Old Face" w:cs="Arial"/>
                <w:sz w:val="20"/>
                <w:szCs w:val="20"/>
              </w:rPr>
            </w:pPr>
          </w:p>
        </w:tc>
      </w:tr>
      <w:tr w:rsidR="003353E7" w:rsidRPr="00304656" w14:paraId="07662439" w14:textId="77777777" w:rsidTr="00300FF7">
        <w:tc>
          <w:tcPr>
            <w:tcW w:w="810" w:type="dxa"/>
          </w:tcPr>
          <w:p w14:paraId="5E9214A0" w14:textId="77777777" w:rsidR="007D3C1C" w:rsidRPr="003353E7" w:rsidRDefault="003353E7" w:rsidP="00CB47F9">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t>V</w:t>
            </w:r>
            <w:r w:rsidR="00CB47F9">
              <w:rPr>
                <w:rFonts w:ascii="Baskerville Old Face" w:hAnsi="Baskerville Old Face" w:cs="Arial"/>
                <w:sz w:val="18"/>
                <w:szCs w:val="18"/>
              </w:rPr>
              <w:t>I.</w:t>
            </w:r>
          </w:p>
        </w:tc>
        <w:tc>
          <w:tcPr>
            <w:tcW w:w="2070" w:type="dxa"/>
            <w:shd w:val="clear" w:color="auto" w:fill="auto"/>
          </w:tcPr>
          <w:p w14:paraId="252E32DE" w14:textId="77777777" w:rsidR="007D3C1C" w:rsidRPr="00304656" w:rsidRDefault="003353E7" w:rsidP="00300FF7">
            <w:pPr>
              <w:spacing w:after="0" w:line="240" w:lineRule="auto"/>
              <w:rPr>
                <w:rStyle w:val="afoutputlabel"/>
                <w:sz w:val="20"/>
                <w:szCs w:val="20"/>
              </w:rPr>
            </w:pPr>
            <w:r>
              <w:rPr>
                <w:rStyle w:val="afoutputlabel"/>
                <w:sz w:val="20"/>
                <w:szCs w:val="20"/>
              </w:rPr>
              <w:t>Closing the Loop</w:t>
            </w:r>
          </w:p>
        </w:tc>
        <w:tc>
          <w:tcPr>
            <w:tcW w:w="7830" w:type="dxa"/>
            <w:shd w:val="clear" w:color="auto" w:fill="auto"/>
          </w:tcPr>
          <w:p w14:paraId="786221F9" w14:textId="77777777" w:rsidR="007D3C1C" w:rsidRPr="00304656" w:rsidRDefault="007D3C1C" w:rsidP="00CF6AB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sidR="00CF6AB0">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sidR="00326D09">
              <w:rPr>
                <w:rFonts w:ascii="Baskerville Old Face" w:hAnsi="Baskerville Old Face" w:cs="Arial"/>
                <w:sz w:val="20"/>
                <w:szCs w:val="20"/>
              </w:rPr>
              <w:t xml:space="preserve"> N.B. For the Comprehensive Program Review the question becomes “What were the </w:t>
            </w:r>
            <w:r w:rsidR="00CF6AB0">
              <w:rPr>
                <w:rFonts w:ascii="Baskerville Old Face" w:hAnsi="Baskerville Old Face" w:cs="Arial"/>
                <w:sz w:val="20"/>
                <w:szCs w:val="20"/>
              </w:rPr>
              <w:t xml:space="preserve">assessments showing the results </w:t>
            </w:r>
            <w:r w:rsidR="00326D09">
              <w:rPr>
                <w:rFonts w:ascii="Baskerville Old Face" w:hAnsi="Baskerville Old Face" w:cs="Arial"/>
                <w:sz w:val="20"/>
                <w:szCs w:val="20"/>
              </w:rPr>
              <w:t>of receiving the requested resources over the last five years?”</w:t>
            </w:r>
          </w:p>
        </w:tc>
        <w:tc>
          <w:tcPr>
            <w:tcW w:w="3690" w:type="dxa"/>
          </w:tcPr>
          <w:p w14:paraId="67BE378E" w14:textId="77777777" w:rsidR="007D3C1C" w:rsidRPr="00304656" w:rsidRDefault="007D3C1C" w:rsidP="00300FF7">
            <w:pPr>
              <w:spacing w:after="0" w:line="240" w:lineRule="auto"/>
              <w:rPr>
                <w:rFonts w:ascii="Baskerville Old Face" w:hAnsi="Baskerville Old Face" w:cs="Arial"/>
                <w:sz w:val="20"/>
                <w:szCs w:val="20"/>
              </w:rPr>
            </w:pPr>
          </w:p>
        </w:tc>
      </w:tr>
      <w:tr w:rsidR="003353E7" w:rsidRPr="00304656" w14:paraId="003FBF3C" w14:textId="77777777" w:rsidTr="00300FF7">
        <w:tc>
          <w:tcPr>
            <w:tcW w:w="810" w:type="dxa"/>
          </w:tcPr>
          <w:p w14:paraId="748845D1" w14:textId="77777777"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14:paraId="2AEB5C16"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14:paraId="223886E5" w14:textId="77777777"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7830" w:type="dxa"/>
            <w:shd w:val="clear" w:color="auto" w:fill="auto"/>
          </w:tcPr>
          <w:p w14:paraId="6D9BBCEE" w14:textId="77777777"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3690" w:type="dxa"/>
          </w:tcPr>
          <w:p w14:paraId="0AABEA14" w14:textId="77777777" w:rsidR="007D3C1C" w:rsidRPr="00C178B3" w:rsidRDefault="00CB6BF0"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Lori Clinchard, </w:t>
            </w:r>
            <w:hyperlink r:id="rId28" w:history="1">
              <w:r w:rsidRPr="00A43875">
                <w:rPr>
                  <w:rStyle w:val="Hyperlink"/>
                  <w:rFonts w:ascii="Baskerville Old Face" w:hAnsi="Baskerville Old Face" w:cs="Arial"/>
                  <w:sz w:val="20"/>
                  <w:szCs w:val="20"/>
                </w:rPr>
                <w:t>clinchardlori@fhda.edu</w:t>
              </w:r>
            </w:hyperlink>
            <w:r>
              <w:rPr>
                <w:rFonts w:ascii="Baskerville Old Face" w:hAnsi="Baskerville Old Face" w:cs="Arial"/>
                <w:sz w:val="20"/>
                <w:szCs w:val="20"/>
              </w:rPr>
              <w:t>, x8988</w:t>
            </w:r>
          </w:p>
        </w:tc>
      </w:tr>
      <w:tr w:rsidR="003353E7" w:rsidRPr="00304656" w14:paraId="44F1D2D0" w14:textId="77777777" w:rsidTr="00300FF7">
        <w:tc>
          <w:tcPr>
            <w:tcW w:w="810" w:type="dxa"/>
          </w:tcPr>
          <w:p w14:paraId="28981C97" w14:textId="77777777" w:rsidR="007D3C1C" w:rsidRPr="003353E7" w:rsidRDefault="007D3C1C" w:rsidP="00300FF7">
            <w:pPr>
              <w:spacing w:after="0" w:line="240" w:lineRule="auto"/>
              <w:rPr>
                <w:rFonts w:ascii="Baskerville Old Face" w:hAnsi="Baskerville Old Face" w:cs="Arial"/>
                <w:sz w:val="18"/>
                <w:szCs w:val="18"/>
              </w:rPr>
            </w:pPr>
          </w:p>
        </w:tc>
        <w:tc>
          <w:tcPr>
            <w:tcW w:w="2070" w:type="dxa"/>
            <w:shd w:val="clear" w:color="auto" w:fill="auto"/>
          </w:tcPr>
          <w:p w14:paraId="6E8DA4BF" w14:textId="77777777"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7830" w:type="dxa"/>
            <w:shd w:val="clear" w:color="auto" w:fill="auto"/>
          </w:tcPr>
          <w:p w14:paraId="4AF61E16" w14:textId="77777777"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3690" w:type="dxa"/>
          </w:tcPr>
          <w:p w14:paraId="5EECFEA4" w14:textId="77777777" w:rsidR="007D3C1C" w:rsidRDefault="00CB6BF0"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3/21/16</w:t>
            </w:r>
          </w:p>
        </w:tc>
      </w:tr>
    </w:tbl>
    <w:p w14:paraId="0C314B5C" w14:textId="77777777" w:rsidR="00B00C6D" w:rsidRPr="00304656" w:rsidRDefault="00300FF7">
      <w:pPr>
        <w:rPr>
          <w:sz w:val="20"/>
          <w:szCs w:val="20"/>
        </w:rPr>
      </w:pPr>
      <w:r>
        <w:rPr>
          <w:sz w:val="20"/>
          <w:szCs w:val="20"/>
        </w:rPr>
        <w:br w:type="textWrapping" w:clear="all"/>
      </w:r>
    </w:p>
    <w:sectPr w:rsidR="00B00C6D" w:rsidRPr="00304656" w:rsidSect="00D75934">
      <w:headerReference w:type="default" r:id="rId29"/>
      <w:footerReference w:type="even" r:id="rId30"/>
      <w:footerReference w:type="default" r:id="rId31"/>
      <w:headerReference w:type="first" r:id="rId32"/>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1FE6A" w14:textId="77777777" w:rsidR="002453A4" w:rsidRDefault="002453A4" w:rsidP="00B00C6D">
      <w:pPr>
        <w:spacing w:after="0" w:line="240" w:lineRule="auto"/>
      </w:pPr>
      <w:r>
        <w:separator/>
      </w:r>
    </w:p>
  </w:endnote>
  <w:endnote w:type="continuationSeparator" w:id="0">
    <w:p w14:paraId="6EAE0001" w14:textId="77777777" w:rsidR="002453A4" w:rsidRDefault="002453A4"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0BF4E" w14:textId="77777777" w:rsidR="002453A4" w:rsidRDefault="002453A4"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A7F711" w14:textId="77777777" w:rsidR="002453A4" w:rsidRDefault="002453A4"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97C5" w14:textId="77777777" w:rsidR="002453A4" w:rsidRDefault="002453A4"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7D531B">
      <w:rPr>
        <w:rStyle w:val="PageNumber"/>
        <w:noProof/>
      </w:rPr>
      <w:t>1</w:t>
    </w:r>
    <w:r>
      <w:rPr>
        <w:rStyle w:val="PageNumber"/>
      </w:rPr>
      <w:fldChar w:fldCharType="end"/>
    </w:r>
  </w:p>
  <w:p w14:paraId="4D30603E" w14:textId="77777777" w:rsidR="002453A4" w:rsidRDefault="002453A4" w:rsidP="00B00C6D">
    <w:pPr>
      <w:pStyle w:val="Footer"/>
      <w:ind w:right="360"/>
      <w:jc w:val="right"/>
    </w:pPr>
    <w:r>
      <w:fldChar w:fldCharType="begin"/>
    </w:r>
    <w:r>
      <w:instrText xml:space="preserve"> TIME \@ "MMMM d, yyyy" </w:instrText>
    </w:r>
    <w:r>
      <w:fldChar w:fldCharType="separate"/>
    </w:r>
    <w:r w:rsidR="007D531B">
      <w:rPr>
        <w:noProof/>
      </w:rPr>
      <w:t>April 27,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BB12" w14:textId="77777777" w:rsidR="002453A4" w:rsidRDefault="002453A4" w:rsidP="00B00C6D">
      <w:pPr>
        <w:spacing w:after="0" w:line="240" w:lineRule="auto"/>
      </w:pPr>
      <w:r>
        <w:separator/>
      </w:r>
    </w:p>
  </w:footnote>
  <w:footnote w:type="continuationSeparator" w:id="0">
    <w:p w14:paraId="2CF855AA" w14:textId="77777777" w:rsidR="002453A4" w:rsidRDefault="002453A4"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205F" w14:textId="77777777" w:rsidR="002453A4" w:rsidRPr="00B1797B" w:rsidRDefault="002453A4"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Pr>
        <w:rFonts w:ascii="Baskerville Old Face" w:hAnsi="Baskerville Old Face" w:cs="Arial"/>
        <w:b/>
        <w:sz w:val="24"/>
      </w:rPr>
      <w:t xml:space="preserve">             IPBT Approved 11/24/2015</w:t>
    </w:r>
  </w:p>
  <w:p w14:paraId="2C91BAA0" w14:textId="77777777" w:rsidR="002453A4" w:rsidRPr="00833B20" w:rsidRDefault="002453A4">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1351" w14:textId="77777777" w:rsidR="002453A4" w:rsidRPr="00B1797B" w:rsidRDefault="002453A4"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14:paraId="0B01D608" w14:textId="77777777" w:rsidR="002453A4" w:rsidRPr="009071FB" w:rsidRDefault="002453A4"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AC5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C67988"/>
    <w:multiLevelType w:val="hybridMultilevel"/>
    <w:tmpl w:val="3BDA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664DB"/>
    <w:rsid w:val="000A466D"/>
    <w:rsid w:val="000E763B"/>
    <w:rsid w:val="001106D2"/>
    <w:rsid w:val="001577A1"/>
    <w:rsid w:val="00167AF5"/>
    <w:rsid w:val="001763A2"/>
    <w:rsid w:val="001E6EB3"/>
    <w:rsid w:val="001F7247"/>
    <w:rsid w:val="00233CB7"/>
    <w:rsid w:val="00237A6B"/>
    <w:rsid w:val="002453A4"/>
    <w:rsid w:val="00272D2C"/>
    <w:rsid w:val="00285E69"/>
    <w:rsid w:val="002A379E"/>
    <w:rsid w:val="002E22A0"/>
    <w:rsid w:val="00300FF7"/>
    <w:rsid w:val="00326D09"/>
    <w:rsid w:val="003353E7"/>
    <w:rsid w:val="003C5943"/>
    <w:rsid w:val="00407ED4"/>
    <w:rsid w:val="00412725"/>
    <w:rsid w:val="00433F73"/>
    <w:rsid w:val="004B3A6E"/>
    <w:rsid w:val="004E3882"/>
    <w:rsid w:val="005264E2"/>
    <w:rsid w:val="00543FFD"/>
    <w:rsid w:val="00585B20"/>
    <w:rsid w:val="00634245"/>
    <w:rsid w:val="006666A9"/>
    <w:rsid w:val="00694DC1"/>
    <w:rsid w:val="006A22C0"/>
    <w:rsid w:val="00757E2D"/>
    <w:rsid w:val="00785081"/>
    <w:rsid w:val="007C1A72"/>
    <w:rsid w:val="007D3C1C"/>
    <w:rsid w:val="007D531B"/>
    <w:rsid w:val="008057C1"/>
    <w:rsid w:val="00843FB5"/>
    <w:rsid w:val="00866D17"/>
    <w:rsid w:val="008C6CC1"/>
    <w:rsid w:val="008C78FE"/>
    <w:rsid w:val="008D04A2"/>
    <w:rsid w:val="008D2C60"/>
    <w:rsid w:val="008E1319"/>
    <w:rsid w:val="008E3B07"/>
    <w:rsid w:val="008F57FD"/>
    <w:rsid w:val="0090410A"/>
    <w:rsid w:val="009267FA"/>
    <w:rsid w:val="0098541F"/>
    <w:rsid w:val="009B1A50"/>
    <w:rsid w:val="009B6A77"/>
    <w:rsid w:val="009D35E1"/>
    <w:rsid w:val="009E07D1"/>
    <w:rsid w:val="00A27CDF"/>
    <w:rsid w:val="00A7752B"/>
    <w:rsid w:val="00AC417F"/>
    <w:rsid w:val="00AF29AD"/>
    <w:rsid w:val="00B00C6D"/>
    <w:rsid w:val="00B334E6"/>
    <w:rsid w:val="00BB0B3D"/>
    <w:rsid w:val="00BB32B3"/>
    <w:rsid w:val="00BC2CFB"/>
    <w:rsid w:val="00C3280F"/>
    <w:rsid w:val="00C343AA"/>
    <w:rsid w:val="00C50CC1"/>
    <w:rsid w:val="00C54633"/>
    <w:rsid w:val="00C5731F"/>
    <w:rsid w:val="00C60562"/>
    <w:rsid w:val="00C80CC4"/>
    <w:rsid w:val="00C91E2A"/>
    <w:rsid w:val="00CB47F9"/>
    <w:rsid w:val="00CB6BF0"/>
    <w:rsid w:val="00CF6AB0"/>
    <w:rsid w:val="00D00D1B"/>
    <w:rsid w:val="00D32285"/>
    <w:rsid w:val="00D45CAE"/>
    <w:rsid w:val="00D54EF0"/>
    <w:rsid w:val="00D75934"/>
    <w:rsid w:val="00D9192F"/>
    <w:rsid w:val="00DA1A62"/>
    <w:rsid w:val="00DB7259"/>
    <w:rsid w:val="00E208BD"/>
    <w:rsid w:val="00E548F7"/>
    <w:rsid w:val="00EA288A"/>
    <w:rsid w:val="00ED3464"/>
    <w:rsid w:val="00EF4824"/>
    <w:rsid w:val="00F3255A"/>
    <w:rsid w:val="00F418F9"/>
    <w:rsid w:val="00F63EC9"/>
    <w:rsid w:val="00FB3664"/>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D7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25"/>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25"/>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ColorfulShading-Accent31">
    <w:name w:val="Colorful Shading - Accent 3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gov/IPBT/program_review_files.html" TargetMode="External"/><Relationship Id="rId21" Type="http://schemas.openxmlformats.org/officeDocument/2006/relationships/hyperlink" Target="http://www.deanza.edu/ir/deanza-research-projects/2012_13/ACCJC_IS.pdf" TargetMode="External"/><Relationship Id="rId22" Type="http://schemas.openxmlformats.org/officeDocument/2006/relationships/hyperlink" Target="http://deanza.edu/ir/program-review.14-15.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http://www.deanza.edu/emp/pdf/EMP2015-2020_11-18-15.pdf" TargetMode="External"/><Relationship Id="rId25" Type="http://schemas.openxmlformats.org/officeDocument/2006/relationships/hyperlink" Target="http://deanza.edu/about/missionandvalues.html" TargetMode="External"/><Relationship Id="rId26" Type="http://schemas.openxmlformats.org/officeDocument/2006/relationships/hyperlink" Target="http://deanza.edu/about/missionandvalues.html" TargetMode="External"/><Relationship Id="rId27" Type="http://schemas.openxmlformats.org/officeDocument/2006/relationships/hyperlink" Target="http://www.deanza.edu/emp/pdf/EMP2015-2020_11-18-15.pdf" TargetMode="External"/><Relationship Id="rId28" Type="http://schemas.openxmlformats.org/officeDocument/2006/relationships/hyperlink" Target="mailto:clinchardlori@fhda.edu"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header" Target="header2.xm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pappemary@fhda.edu" TargetMode="External"/><Relationship Id="rId11" Type="http://schemas.openxmlformats.org/officeDocument/2006/relationships/hyperlink" Target="http://www.deanza.edu/about/missionandvalues.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deanza.fhda.edu/ir/program-review.14-15.html"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www.deanza.edu/ir/deanza-research-projects/2012_13/ACCJC_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E115-ABC3-3C4F-92AB-C21E5B09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3822</Words>
  <Characters>21787</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25558</CharactersWithSpaces>
  <SharedDoc>false</SharedDoc>
  <HLinks>
    <vt:vector size="114" baseType="variant">
      <vt:variant>
        <vt:i4>2359400</vt:i4>
      </vt:variant>
      <vt:variant>
        <vt:i4>54</vt:i4>
      </vt:variant>
      <vt:variant>
        <vt:i4>0</vt:i4>
      </vt:variant>
      <vt:variant>
        <vt:i4>5</vt:i4>
      </vt:variant>
      <vt:variant>
        <vt:lpwstr>http://www.deanza.edu/emp/pdf/EMP2015-2020_11-18-15.pdf</vt:lpwstr>
      </vt:variant>
      <vt:variant>
        <vt:lpwstr/>
      </vt:variant>
      <vt:variant>
        <vt:i4>1769527</vt:i4>
      </vt:variant>
      <vt:variant>
        <vt:i4>51</vt:i4>
      </vt:variant>
      <vt:variant>
        <vt:i4>0</vt:i4>
      </vt:variant>
      <vt:variant>
        <vt:i4>5</vt:i4>
      </vt:variant>
      <vt:variant>
        <vt:lpwstr>http://deanza.edu/about/missionandvalues.html</vt:lpwstr>
      </vt:variant>
      <vt:variant>
        <vt:lpwstr/>
      </vt:variant>
      <vt:variant>
        <vt:i4>1769527</vt:i4>
      </vt:variant>
      <vt:variant>
        <vt:i4>48</vt:i4>
      </vt:variant>
      <vt:variant>
        <vt:i4>0</vt:i4>
      </vt:variant>
      <vt:variant>
        <vt:i4>5</vt:i4>
      </vt:variant>
      <vt:variant>
        <vt:lpwstr>http://deanza.edu/about/missionandvalues.html</vt:lpwstr>
      </vt:variant>
      <vt:variant>
        <vt:lpwstr/>
      </vt:variant>
      <vt:variant>
        <vt:i4>2359400</vt:i4>
      </vt:variant>
      <vt:variant>
        <vt:i4>45</vt:i4>
      </vt:variant>
      <vt:variant>
        <vt:i4>0</vt:i4>
      </vt:variant>
      <vt:variant>
        <vt:i4>5</vt:i4>
      </vt:variant>
      <vt:variant>
        <vt:lpwstr>http://www.deanza.edu/emp/pdf/EMP2015-2020_11-18-15.pdf</vt:lpwstr>
      </vt:variant>
      <vt:variant>
        <vt:lpwstr/>
      </vt:variant>
      <vt:variant>
        <vt:i4>1769527</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2818058</vt:i4>
      </vt:variant>
      <vt:variant>
        <vt:i4>27</vt:i4>
      </vt:variant>
      <vt:variant>
        <vt:i4>0</vt:i4>
      </vt:variant>
      <vt:variant>
        <vt:i4>5</vt:i4>
      </vt:variant>
      <vt:variant>
        <vt:lpwstr>http://deanza.fhda.edu/ir/program-review.14-15.html</vt:lpwstr>
      </vt:variant>
      <vt:variant>
        <vt:lpwstr/>
      </vt:variant>
      <vt:variant>
        <vt:i4>2818058</vt:i4>
      </vt:variant>
      <vt:variant>
        <vt:i4>24</vt:i4>
      </vt:variant>
      <vt:variant>
        <vt:i4>0</vt:i4>
      </vt:variant>
      <vt:variant>
        <vt:i4>5</vt:i4>
      </vt:variant>
      <vt:variant>
        <vt:lpwstr>http://deanza.fhda.edu/ir/program-review.14-15.html</vt:lpwstr>
      </vt:variant>
      <vt:variant>
        <vt:lpwstr/>
      </vt:variant>
      <vt:variant>
        <vt:i4>2818058</vt:i4>
      </vt:variant>
      <vt:variant>
        <vt:i4>21</vt:i4>
      </vt:variant>
      <vt:variant>
        <vt:i4>0</vt:i4>
      </vt:variant>
      <vt:variant>
        <vt:i4>5</vt:i4>
      </vt:variant>
      <vt:variant>
        <vt:lpwstr>http://deanza.fhda.edu/ir/program-review.14-15.html</vt:lpwstr>
      </vt:variant>
      <vt:variant>
        <vt:lpwstr/>
      </vt:variant>
      <vt:variant>
        <vt:i4>2621512</vt:i4>
      </vt:variant>
      <vt:variant>
        <vt:i4>18</vt:i4>
      </vt:variant>
      <vt:variant>
        <vt:i4>0</vt:i4>
      </vt:variant>
      <vt:variant>
        <vt:i4>5</vt:i4>
      </vt:variant>
      <vt:variant>
        <vt:lpwstr>http://deanza.fhda.edu/ir/AwardsbyDivision.html</vt:lpwstr>
      </vt:variant>
      <vt:variant>
        <vt:lpwstr/>
      </vt:variant>
      <vt:variant>
        <vt:i4>2621512</vt:i4>
      </vt:variant>
      <vt:variant>
        <vt:i4>15</vt:i4>
      </vt:variant>
      <vt:variant>
        <vt:i4>0</vt:i4>
      </vt:variant>
      <vt:variant>
        <vt:i4>5</vt:i4>
      </vt:variant>
      <vt:variant>
        <vt:lpwstr>http://deanza.fhda.edu/ir/AwardsbyDivision.html</vt:lpwstr>
      </vt:variant>
      <vt:variant>
        <vt:lpwstr/>
      </vt:variant>
      <vt:variant>
        <vt:i4>2621512</vt:i4>
      </vt:variant>
      <vt:variant>
        <vt:i4>12</vt:i4>
      </vt:variant>
      <vt:variant>
        <vt:i4>0</vt:i4>
      </vt:variant>
      <vt:variant>
        <vt:i4>5</vt:i4>
      </vt:variant>
      <vt:variant>
        <vt:lpwstr>http://deanza.fhda.edu/ir/AwardsbyDivision.html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1769582</vt:i4>
      </vt:variant>
      <vt:variant>
        <vt:i4>6</vt:i4>
      </vt:variant>
      <vt:variant>
        <vt:i4>0</vt:i4>
      </vt:variant>
      <vt:variant>
        <vt:i4>5</vt:i4>
      </vt:variant>
      <vt:variant>
        <vt:lpwstr>http://www.deanza.edu/about/missionandvalues.html</vt:lpwstr>
      </vt:variant>
      <vt:variant>
        <vt:lpwstr/>
      </vt:variant>
      <vt:variant>
        <vt:i4>5701661</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dc:creator>
  <cp:keywords/>
  <dc:description/>
  <cp:lastModifiedBy>De Anza College</cp:lastModifiedBy>
  <cp:revision>2</cp:revision>
  <cp:lastPrinted>2016-04-22T22:01:00Z</cp:lastPrinted>
  <dcterms:created xsi:type="dcterms:W3CDTF">2016-04-27T20:51:00Z</dcterms:created>
  <dcterms:modified xsi:type="dcterms:W3CDTF">2016-04-27T20:51:00Z</dcterms:modified>
</cp:coreProperties>
</file>