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1C5A" w:rsidR="00615EA6" w:rsidP="007432D3" w:rsidRDefault="00615EA6" w14:paraId="739052A6" w14:textId="525A3399">
      <w:pPr>
        <w:jc w:val="center"/>
        <w:rPr>
          <w:rFonts w:cstheme="minorHAnsi"/>
          <w:b/>
          <w:bCs/>
          <w:sz w:val="24"/>
          <w:szCs w:val="24"/>
        </w:rPr>
      </w:pPr>
      <w:r w:rsidRPr="00761C5A">
        <w:rPr>
          <w:rFonts w:cstheme="minorHAnsi"/>
          <w:b/>
          <w:bCs/>
          <w:sz w:val="24"/>
          <w:szCs w:val="24"/>
        </w:rPr>
        <w:t xml:space="preserve">Foothill-De Anza CCD Sustainability </w:t>
      </w:r>
      <w:r w:rsidRPr="00761C5A" w:rsidR="00B329DA">
        <w:rPr>
          <w:rFonts w:cstheme="minorHAnsi"/>
          <w:b/>
          <w:bCs/>
          <w:sz w:val="24"/>
          <w:szCs w:val="24"/>
        </w:rPr>
        <w:t>Action</w:t>
      </w:r>
      <w:r w:rsidRPr="00761C5A">
        <w:rPr>
          <w:rFonts w:cstheme="minorHAnsi"/>
          <w:b/>
          <w:bCs/>
          <w:sz w:val="24"/>
          <w:szCs w:val="24"/>
        </w:rPr>
        <w:t xml:space="preserve"> Plan</w:t>
      </w:r>
    </w:p>
    <w:p w:rsidRPr="00761C5A" w:rsidR="00291441" w:rsidP="007432D3" w:rsidRDefault="006D63D3" w14:paraId="49E2085C" w14:textId="0780D4F1">
      <w:pPr>
        <w:jc w:val="center"/>
        <w:rPr>
          <w:rFonts w:cstheme="minorHAnsi"/>
          <w:b/>
          <w:bCs/>
          <w:sz w:val="24"/>
          <w:szCs w:val="24"/>
        </w:rPr>
      </w:pPr>
      <w:r w:rsidRPr="00761C5A">
        <w:rPr>
          <w:rFonts w:cstheme="minorHAnsi"/>
          <w:b/>
          <w:bCs/>
          <w:sz w:val="24"/>
          <w:szCs w:val="24"/>
        </w:rPr>
        <w:t xml:space="preserve">Draft </w:t>
      </w:r>
      <w:r w:rsidRPr="00761C5A" w:rsidR="00615EA6">
        <w:rPr>
          <w:rFonts w:cstheme="minorHAnsi"/>
          <w:b/>
          <w:bCs/>
          <w:sz w:val="24"/>
          <w:szCs w:val="24"/>
        </w:rPr>
        <w:t>Mission Statement</w:t>
      </w:r>
      <w:r w:rsidRPr="00761C5A">
        <w:rPr>
          <w:rFonts w:cstheme="minorHAnsi"/>
          <w:b/>
          <w:bCs/>
          <w:sz w:val="24"/>
          <w:szCs w:val="24"/>
        </w:rPr>
        <w:t xml:space="preserve"> and Goals</w:t>
      </w:r>
    </w:p>
    <w:p w:rsidRPr="00761C5A" w:rsidR="00615EA6" w:rsidP="1A78AAC8" w:rsidRDefault="00615EA6" w14:paraId="0B11B09A" w14:textId="7448A6FB">
      <w:pPr>
        <w:jc w:val="center"/>
        <w:rPr>
          <w:rFonts w:cs="Calibri" w:cstheme="minorAscii"/>
          <w:b w:val="1"/>
          <w:bCs w:val="1"/>
          <w:sz w:val="24"/>
          <w:szCs w:val="24"/>
        </w:rPr>
      </w:pPr>
      <w:r w:rsidRPr="1A78AAC8" w:rsidR="1A78AAC8">
        <w:rPr>
          <w:rFonts w:cs="Calibri" w:cstheme="minorAscii"/>
          <w:b w:val="1"/>
          <w:bCs w:val="1"/>
          <w:sz w:val="24"/>
          <w:szCs w:val="24"/>
        </w:rPr>
        <w:t>March 31, 2022</w:t>
      </w:r>
    </w:p>
    <w:p w:rsidRPr="00761C5A" w:rsidR="00492F22" w:rsidP="007432D3" w:rsidRDefault="00492F22" w14:paraId="3BCF785A" w14:textId="2148DECD">
      <w:pPr>
        <w:jc w:val="center"/>
        <w:rPr>
          <w:rFonts w:cstheme="minorHAnsi"/>
          <w:b/>
          <w:bCs/>
          <w:sz w:val="24"/>
          <w:szCs w:val="24"/>
        </w:rPr>
      </w:pPr>
    </w:p>
    <w:p w:rsidRPr="00761C5A" w:rsidR="00492F22" w:rsidP="575EA7FA" w:rsidRDefault="00492F22" w14:paraId="44121037" w14:textId="41FBD93A">
      <w:pPr>
        <w:pStyle w:val="xmsonormal"/>
        <w:jc w:val="center"/>
        <w:rPr>
          <w:rFonts w:ascii="Calibri" w:hAnsi="Calibri" w:cs="Calibri" w:asciiTheme="minorAscii" w:hAnsiTheme="minorAscii" w:cstheme="minorAscii"/>
          <w:color w:val="000000"/>
          <w:sz w:val="24"/>
          <w:szCs w:val="24"/>
        </w:rPr>
      </w:pPr>
      <w:r w:rsidRPr="575EA7FA" w:rsidR="575EA7FA">
        <w:rPr>
          <w:rFonts w:ascii="Calibri" w:hAnsi="Calibri" w:cs="Calibri" w:asciiTheme="minorAscii" w:hAnsiTheme="minorAscii" w:cstheme="minorAscii"/>
          <w:color w:val="000000" w:themeColor="text1" w:themeTint="FF" w:themeShade="FF"/>
          <w:sz w:val="24"/>
          <w:szCs w:val="24"/>
        </w:rPr>
        <w:t>The Foothill-De Anza Community College District Sustainability Action Plan guides our policies, goals and objectives for environmental stewardship, social equity, and financial responsibility.  It encompasses impacts of the actions of students, faculty, staff, and administrators on our district and our communities.</w:t>
      </w:r>
    </w:p>
    <w:p w:rsidRPr="00761C5A" w:rsidR="006D63D3" w:rsidP="007432D3" w:rsidRDefault="006D63D3" w14:paraId="220BC926" w14:textId="393072D3">
      <w:pPr>
        <w:pStyle w:val="xmsonormal"/>
        <w:jc w:val="center"/>
        <w:rPr>
          <w:rFonts w:asciiTheme="minorHAnsi" w:hAnsiTheme="minorHAnsi" w:cstheme="minorHAnsi"/>
          <w:color w:val="000000"/>
          <w:sz w:val="24"/>
          <w:szCs w:val="24"/>
        </w:rPr>
      </w:pPr>
    </w:p>
    <w:p w:rsidRPr="006D63D3" w:rsidR="006D63D3" w:rsidP="64B8BDD0" w:rsidRDefault="006D63D3" w14:paraId="720160DB" w14:textId="29E41E24">
      <w:pPr>
        <w:pStyle w:val="xmsonormal"/>
        <w:rPr>
          <w:rFonts w:ascii="Calibri" w:hAnsi="Calibri" w:cs="Calibri" w:asciiTheme="minorAscii" w:hAnsiTheme="minorAscii" w:cstheme="minorAscii"/>
          <w:b w:val="1"/>
          <w:bCs w:val="1"/>
          <w:color w:val="FF0000"/>
          <w:sz w:val="24"/>
          <w:szCs w:val="24"/>
        </w:rPr>
      </w:pPr>
      <w:r w:rsidRPr="64B8BDD0" w:rsidR="64B8BDD0">
        <w:rPr>
          <w:rFonts w:ascii="Calibri" w:hAnsi="Calibri" w:cs="Calibri" w:asciiTheme="minorAscii" w:hAnsiTheme="minorAscii" w:cstheme="minorAscii"/>
          <w:b w:val="1"/>
          <w:bCs w:val="1"/>
          <w:color w:val="000000" w:themeColor="text1" w:themeTint="FF" w:themeShade="FF"/>
          <w:sz w:val="24"/>
          <w:szCs w:val="24"/>
        </w:rPr>
        <w:t xml:space="preserve">Goals </w:t>
      </w:r>
    </w:p>
    <w:p w:rsidRPr="006D63D3" w:rsidR="006D63D3" w:rsidP="006D63D3" w:rsidRDefault="006D63D3" w14:paraId="39ED930A" w14:textId="77777777">
      <w:pPr>
        <w:pStyle w:val="xmsonormal"/>
        <w:rPr>
          <w:rFonts w:asciiTheme="minorHAnsi" w:hAnsiTheme="minorHAnsi" w:cstheme="minorHAnsi"/>
          <w:b/>
          <w:bCs/>
          <w:color w:val="000000"/>
          <w:sz w:val="24"/>
          <w:szCs w:val="24"/>
        </w:rPr>
      </w:pPr>
    </w:p>
    <w:p w:rsidRPr="006D63D3" w:rsidR="006D63D3" w:rsidP="6AB8F4AB" w:rsidRDefault="006D63D3" w14:paraId="6A2ECC9C" w14:textId="092FD738">
      <w:pPr>
        <w:pStyle w:val="xmsonormal"/>
        <w:numPr>
          <w:ilvl w:val="0"/>
          <w:numId w:val="4"/>
        </w:numPr>
        <w:rPr>
          <w:rFonts w:ascii="Calibri" w:hAnsi="Calibri" w:eastAsia="Calibri" w:cs="Calibri" w:asciiTheme="minorAscii" w:hAnsiTheme="minorAscii" w:eastAsiaTheme="minorAscii" w:cstheme="minorAscii"/>
          <w:color w:val="000000" w:themeColor="text1" w:themeTint="FF" w:themeShade="FF"/>
          <w:sz w:val="24"/>
          <w:szCs w:val="24"/>
        </w:rPr>
      </w:pPr>
      <w:r w:rsidRPr="1A78AAC8" w:rsidR="1A78AAC8">
        <w:rPr>
          <w:rFonts w:ascii="Calibri" w:hAnsi="Calibri" w:cs="Calibri" w:asciiTheme="minorAscii" w:hAnsiTheme="minorAscii" w:cstheme="minorAscii"/>
          <w:strike w:val="0"/>
          <w:dstrike w:val="0"/>
          <w:color w:val="auto"/>
          <w:sz w:val="24"/>
          <w:szCs w:val="24"/>
        </w:rPr>
        <w:t>Develop a Sustainability Action Plan to identify measures to reduce resource use impacts, improve sustainability, and strengthen campus resilience by employing all appropriate funding sources.</w:t>
      </w:r>
    </w:p>
    <w:p w:rsidRPr="006D63D3" w:rsidR="006D63D3" w:rsidP="64B8BDD0" w:rsidRDefault="006D63D3" w14:paraId="206C5EAE" w14:textId="77777777">
      <w:pPr>
        <w:pStyle w:val="xmsonormal"/>
        <w:rPr>
          <w:rFonts w:ascii="Calibri" w:hAnsi="Calibri" w:cs="Calibri" w:asciiTheme="minorAscii" w:hAnsiTheme="minorAscii" w:cstheme="minorAscii"/>
          <w:color w:val="auto"/>
          <w:sz w:val="24"/>
          <w:szCs w:val="24"/>
        </w:rPr>
      </w:pPr>
    </w:p>
    <w:p w:rsidRPr="00761C5A" w:rsidR="006D63D3" w:rsidP="6AB8F4AB" w:rsidRDefault="006D63D3" w14:paraId="78790329" w14:textId="68D6F101">
      <w:pPr>
        <w:pStyle w:val="xmsonormal"/>
        <w:numPr>
          <w:ilvl w:val="0"/>
          <w:numId w:val="4"/>
        </w:numPr>
        <w:rPr>
          <w:rFonts w:ascii="Calibri" w:hAnsi="Calibri" w:cs="Calibri" w:asciiTheme="minorAscii" w:hAnsiTheme="minorAscii" w:cstheme="minorAscii"/>
          <w:color w:val="000000" w:themeColor="text1" w:themeTint="FF" w:themeShade="FF"/>
          <w:sz w:val="24"/>
          <w:szCs w:val="24"/>
        </w:rPr>
      </w:pPr>
      <w:r w:rsidRPr="6AB8F4AB" w:rsidR="6AB8F4AB">
        <w:rPr>
          <w:rFonts w:ascii="Calibri" w:hAnsi="Calibri" w:cs="Calibri" w:asciiTheme="minorAscii" w:hAnsiTheme="minorAscii" w:cstheme="minorAscii"/>
          <w:color w:val="auto"/>
          <w:sz w:val="24"/>
          <w:szCs w:val="24"/>
        </w:rPr>
        <w:t xml:space="preserve">Establish an inclusionary process where students, faculty, and staff play a meaningful role in District sustainability efforts and understand the environmental, societal, and economic impacts of </w:t>
      </w:r>
      <w:r w:rsidRPr="6AB8F4AB" w:rsidR="6AB8F4AB">
        <w:rPr>
          <w:rFonts w:ascii="Calibri" w:hAnsi="Calibri" w:cs="Calibri" w:asciiTheme="minorAscii" w:hAnsiTheme="minorAscii" w:cstheme="minorAscii"/>
          <w:color w:val="auto"/>
          <w:sz w:val="24"/>
          <w:szCs w:val="24"/>
        </w:rPr>
        <w:t>resource</w:t>
      </w:r>
      <w:r w:rsidRPr="6AB8F4AB" w:rsidR="6AB8F4AB">
        <w:rPr>
          <w:rFonts w:ascii="Calibri" w:hAnsi="Calibri" w:cs="Calibri" w:asciiTheme="minorAscii" w:hAnsiTheme="minorAscii" w:cstheme="minorAscii"/>
          <w:color w:val="auto"/>
          <w:sz w:val="24"/>
          <w:szCs w:val="24"/>
        </w:rPr>
        <w:t xml:space="preserve"> use while integrating these activities as learning opportunities to fulfill our responsibility as a Higher Education institution.</w:t>
      </w:r>
    </w:p>
    <w:p w:rsidRPr="00761C5A" w:rsidR="003D18E5" w:rsidP="64B8BDD0" w:rsidRDefault="003D18E5" w14:paraId="2F5514D8" w14:textId="77777777">
      <w:pPr>
        <w:pStyle w:val="ListParagraph"/>
        <w:rPr>
          <w:rFonts w:cs="Calibri" w:cstheme="minorAscii"/>
          <w:color w:val="auto"/>
          <w:sz w:val="24"/>
          <w:szCs w:val="24"/>
        </w:rPr>
      </w:pPr>
    </w:p>
    <w:p w:rsidRPr="00761C5A" w:rsidR="003D18E5" w:rsidP="6AB8F4AB" w:rsidRDefault="003D18E5" w14:paraId="745FB5F9" w14:textId="693CD5F1">
      <w:pPr>
        <w:pStyle w:val="ListParagraph"/>
        <w:numPr>
          <w:ilvl w:val="0"/>
          <w:numId w:val="4"/>
        </w:numPr>
        <w:rPr>
          <w:rFonts w:eastAsia="" w:cs="Calibri" w:eastAsiaTheme="minorEastAsia" w:cstheme="minorAscii"/>
          <w:color w:val="000000" w:themeColor="text1" w:themeTint="FF" w:themeShade="FF"/>
          <w:sz w:val="24"/>
          <w:szCs w:val="24"/>
        </w:rPr>
      </w:pPr>
      <w:r w:rsidRPr="1A78AAC8" w:rsidR="1A78AAC8">
        <w:rPr>
          <w:rFonts w:eastAsia="" w:cs="Calibri" w:eastAsiaTheme="minorEastAsia" w:cstheme="minorAscii"/>
          <w:color w:val="auto"/>
          <w:sz w:val="24"/>
          <w:szCs w:val="24"/>
        </w:rPr>
        <w:t xml:space="preserve">Advocate for social equity, inclusion, </w:t>
      </w:r>
      <w:r w:rsidRPr="1A78AAC8" w:rsidR="1A78AAC8">
        <w:rPr>
          <w:rFonts w:eastAsia="" w:cs="Calibri" w:eastAsiaTheme="minorEastAsia" w:cstheme="minorAscii"/>
          <w:color w:val="auto"/>
          <w:sz w:val="24"/>
          <w:szCs w:val="24"/>
        </w:rPr>
        <w:t>intersectionality</w:t>
      </w:r>
      <w:r w:rsidRPr="1A78AAC8" w:rsidR="1A78AAC8">
        <w:rPr>
          <w:rFonts w:eastAsia="" w:cs="Calibri" w:eastAsiaTheme="minorEastAsia" w:cstheme="minorAscii"/>
          <w:color w:val="auto"/>
          <w:sz w:val="24"/>
          <w:szCs w:val="24"/>
          <w:vertAlign w:val="superscript"/>
        </w:rPr>
        <w:t xml:space="preserve"> (</w:t>
      </w:r>
      <w:r w:rsidRPr="1A78AAC8" w:rsidR="1A78AAC8">
        <w:rPr>
          <w:rFonts w:eastAsia="" w:cs="Calibri" w:eastAsiaTheme="minorEastAsia" w:cstheme="minorAscii"/>
          <w:color w:val="auto"/>
          <w:sz w:val="24"/>
          <w:szCs w:val="24"/>
          <w:vertAlign w:val="superscript"/>
        </w:rPr>
        <w:t>1</w:t>
      </w:r>
      <w:r w:rsidRPr="1A78AAC8" w:rsidR="1A78AAC8">
        <w:rPr>
          <w:rFonts w:eastAsia="" w:cs="Calibri" w:eastAsiaTheme="minorEastAsia" w:cstheme="minorAscii"/>
          <w:color w:val="auto"/>
          <w:sz w:val="24"/>
          <w:szCs w:val="24"/>
          <w:vertAlign w:val="superscript"/>
        </w:rPr>
        <w:t>)</w:t>
      </w:r>
      <w:r w:rsidRPr="1A78AAC8" w:rsidR="1A78AAC8">
        <w:rPr>
          <w:rFonts w:eastAsia="" w:cs="Calibri" w:eastAsiaTheme="minorEastAsia" w:cstheme="minorAscii"/>
          <w:color w:val="auto"/>
          <w:sz w:val="24"/>
          <w:szCs w:val="24"/>
        </w:rPr>
        <w:t>, and environmental justice in curriculum and college programs</w:t>
      </w:r>
    </w:p>
    <w:p w:rsidRPr="006D63D3" w:rsidR="006D63D3" w:rsidP="64B8BDD0" w:rsidRDefault="006D63D3" w14:paraId="557B46D0" w14:textId="77777777">
      <w:pPr>
        <w:pStyle w:val="xmsonormal"/>
        <w:rPr>
          <w:rFonts w:ascii="Calibri" w:hAnsi="Calibri" w:cs="Calibri" w:asciiTheme="minorAscii" w:hAnsiTheme="minorAscii" w:cstheme="minorAscii"/>
          <w:color w:val="auto"/>
          <w:sz w:val="24"/>
          <w:szCs w:val="24"/>
        </w:rPr>
      </w:pPr>
    </w:p>
    <w:p w:rsidRPr="00761C5A" w:rsidR="006D63D3" w:rsidP="6AB8F4AB" w:rsidRDefault="006D63D3" w14:paraId="75586A68" w14:textId="7BF89997">
      <w:pPr>
        <w:pStyle w:val="xmsonormal"/>
        <w:numPr>
          <w:ilvl w:val="0"/>
          <w:numId w:val="4"/>
        </w:numPr>
        <w:rPr>
          <w:rFonts w:ascii="Calibri" w:hAnsi="Calibri" w:cs="Calibri" w:asciiTheme="minorAscii" w:hAnsiTheme="minorAscii" w:cstheme="minorAscii"/>
          <w:color w:val="000000" w:themeColor="text1" w:themeTint="FF" w:themeShade="FF"/>
          <w:sz w:val="24"/>
          <w:szCs w:val="24"/>
        </w:rPr>
      </w:pPr>
      <w:r w:rsidRPr="1A78AAC8" w:rsidR="1A78AAC8">
        <w:rPr>
          <w:rFonts w:ascii="Calibri" w:hAnsi="Calibri" w:cs="Calibri" w:asciiTheme="minorAscii" w:hAnsiTheme="minorAscii" w:cstheme="minorAscii"/>
          <w:color w:val="auto"/>
          <w:sz w:val="24"/>
          <w:szCs w:val="24"/>
        </w:rPr>
        <w:t>Establish objectives, criteria, and implementation plans to achieve carbon neutrality and monitor progress over time to ensure they are achieved.</w:t>
      </w:r>
    </w:p>
    <w:p w:rsidRPr="00761C5A" w:rsidR="003D18E5" w:rsidP="64B8BDD0" w:rsidRDefault="003D18E5" w14:paraId="77E2671A" w14:textId="77777777">
      <w:pPr>
        <w:pStyle w:val="ListParagraph"/>
        <w:rPr>
          <w:rFonts w:cs="Calibri" w:cstheme="minorAscii"/>
          <w:color w:val="auto"/>
          <w:sz w:val="24"/>
          <w:szCs w:val="24"/>
        </w:rPr>
      </w:pPr>
    </w:p>
    <w:p w:rsidRPr="00761C5A" w:rsidR="0039426D" w:rsidP="1A78AAC8" w:rsidRDefault="0039426D" w14:paraId="03F8058F" w14:textId="72849AA0">
      <w:pPr>
        <w:pStyle w:val="ListParagraph"/>
        <w:numPr>
          <w:ilvl w:val="0"/>
          <w:numId w:val="4"/>
        </w:num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A78AAC8" w:rsidR="1A78AAC8">
        <w:rPr>
          <w:noProof w:val="0"/>
          <w:color w:val="auto"/>
          <w:sz w:val="24"/>
          <w:szCs w:val="24"/>
          <w:lang w:val="en-US"/>
        </w:rPr>
        <w:t>Explore restorative and regenerative design principles</w:t>
      </w:r>
      <w:r w:rsidRPr="1A78AAC8" w:rsidR="1A78AAC8">
        <w:rPr>
          <w:noProof w:val="0"/>
          <w:color w:val="auto"/>
          <w:sz w:val="24"/>
          <w:szCs w:val="24"/>
          <w:vertAlign w:val="superscript"/>
          <w:lang w:val="en-US"/>
        </w:rPr>
        <w:t xml:space="preserve"> (2)</w:t>
      </w:r>
      <w:r w:rsidRPr="1A78AAC8" w:rsidR="1A78AAC8">
        <w:rPr>
          <w:noProof w:val="0"/>
          <w:color w:val="auto"/>
          <w:sz w:val="24"/>
          <w:szCs w:val="24"/>
          <w:lang w:val="en-US"/>
        </w:rPr>
        <w:t xml:space="preserve"> that contribute positive impacts </w:t>
      </w:r>
    </w:p>
    <w:p w:rsidR="64B8BDD0" w:rsidP="64B8BDD0" w:rsidRDefault="64B8BDD0" w14:paraId="5083D209" w14:textId="0F63C968">
      <w:pPr>
        <w:pStyle w:val="Normal"/>
        <w:ind w:left="0"/>
        <w:rPr>
          <w:noProof w:val="0"/>
          <w:color w:val="auto"/>
          <w:sz w:val="24"/>
          <w:szCs w:val="24"/>
          <w:lang w:val="en-US"/>
        </w:rPr>
      </w:pPr>
    </w:p>
    <w:p w:rsidRPr="006D63D3" w:rsidR="006D63D3" w:rsidP="6AB8F4AB" w:rsidRDefault="006D63D3" w14:paraId="31519104" w14:textId="6B615C2E">
      <w:pPr>
        <w:pStyle w:val="xmsonormal"/>
        <w:numPr>
          <w:ilvl w:val="0"/>
          <w:numId w:val="4"/>
        </w:numPr>
        <w:rPr>
          <w:rFonts w:ascii="Calibri" w:hAnsi="Calibri" w:cs="Calibri" w:asciiTheme="minorAscii" w:hAnsiTheme="minorAscii" w:cstheme="minorAscii"/>
          <w:color w:val="000000" w:themeColor="text1" w:themeTint="FF" w:themeShade="FF"/>
          <w:sz w:val="24"/>
          <w:szCs w:val="24"/>
        </w:rPr>
      </w:pPr>
      <w:r w:rsidRPr="1A78AAC8" w:rsidR="1A78AAC8">
        <w:rPr>
          <w:rFonts w:ascii="Calibri" w:hAnsi="Calibri" w:cs="Calibri" w:asciiTheme="minorAscii" w:hAnsiTheme="minorAscii" w:cstheme="minorAscii"/>
          <w:color w:val="auto"/>
          <w:sz w:val="24"/>
          <w:szCs w:val="24"/>
        </w:rPr>
        <w:t>Support state and federal energy policies and greenhouse gas (GHG) reduction goals, including the most up-to-date CCC Board of Governors Climate Action and Sustainability Framework.</w:t>
      </w:r>
    </w:p>
    <w:p w:rsidRPr="006D63D3" w:rsidR="006D63D3" w:rsidP="64B8BDD0" w:rsidRDefault="006D63D3" w14:paraId="21351C06" w14:textId="77777777">
      <w:pPr>
        <w:pStyle w:val="xmsonormal"/>
        <w:rPr>
          <w:rFonts w:ascii="Calibri" w:hAnsi="Calibri" w:cs="Calibri" w:asciiTheme="minorAscii" w:hAnsiTheme="minorAscii" w:cstheme="minorAscii"/>
          <w:color w:val="auto"/>
          <w:sz w:val="24"/>
          <w:szCs w:val="24"/>
        </w:rPr>
      </w:pPr>
    </w:p>
    <w:p w:rsidRPr="006D63D3" w:rsidR="006D63D3" w:rsidP="6AB8F4AB" w:rsidRDefault="006D63D3" w14:paraId="0D80D64B" w14:textId="0BC83162">
      <w:pPr>
        <w:pStyle w:val="xmsonormal"/>
        <w:numPr>
          <w:ilvl w:val="0"/>
          <w:numId w:val="4"/>
        </w:numPr>
        <w:rPr>
          <w:rFonts w:ascii="Calibri" w:hAnsi="Calibri" w:cs="Calibri" w:asciiTheme="minorAscii" w:hAnsiTheme="minorAscii" w:cstheme="minorAscii"/>
          <w:color w:val="000000" w:themeColor="text1" w:themeTint="FF" w:themeShade="FF"/>
          <w:sz w:val="24"/>
          <w:szCs w:val="24"/>
        </w:rPr>
      </w:pPr>
      <w:r w:rsidRPr="1A78AAC8" w:rsidR="1A78AAC8">
        <w:rPr>
          <w:rFonts w:ascii="Calibri" w:hAnsi="Calibri" w:cs="Calibri" w:asciiTheme="minorAscii" w:hAnsiTheme="minorAscii" w:cstheme="minorAscii"/>
          <w:color w:val="auto"/>
          <w:sz w:val="24"/>
          <w:szCs w:val="24"/>
        </w:rPr>
        <w:t>Establish the Foothill-De Anza Community College District as a model for sustainability to face the challenges of the 21</w:t>
      </w:r>
      <w:r w:rsidRPr="1A78AAC8" w:rsidR="1A78AAC8">
        <w:rPr>
          <w:rFonts w:ascii="Calibri" w:hAnsi="Calibri" w:cs="Calibri" w:asciiTheme="minorAscii" w:hAnsiTheme="minorAscii" w:cstheme="minorAscii"/>
          <w:color w:val="auto"/>
          <w:sz w:val="24"/>
          <w:szCs w:val="24"/>
          <w:vertAlign w:val="superscript"/>
        </w:rPr>
        <w:t>st</w:t>
      </w:r>
      <w:r w:rsidRPr="1A78AAC8" w:rsidR="1A78AAC8">
        <w:rPr>
          <w:rFonts w:ascii="Calibri" w:hAnsi="Calibri" w:cs="Calibri" w:asciiTheme="minorAscii" w:hAnsiTheme="minorAscii" w:cstheme="minorAscii"/>
          <w:color w:val="auto"/>
          <w:sz w:val="24"/>
          <w:szCs w:val="24"/>
        </w:rPr>
        <w:t xml:space="preserve"> century.</w:t>
      </w:r>
    </w:p>
    <w:p w:rsidRPr="007432D3" w:rsidR="006D63D3" w:rsidP="64B8BDD0" w:rsidRDefault="006D63D3" w14:paraId="42A93FCD" w14:textId="77777777">
      <w:pPr>
        <w:pStyle w:val="xmsonormal"/>
        <w:rPr>
          <w:rFonts w:ascii="Arial" w:hAnsi="Arial" w:cs="Arial"/>
          <w:color w:val="auto"/>
          <w:sz w:val="28"/>
          <w:szCs w:val="28"/>
        </w:rPr>
      </w:pPr>
    </w:p>
    <w:p w:rsidRPr="0039426D" w:rsidR="00492F22" w:rsidP="64B8BDD0" w:rsidRDefault="0039426D" w14:paraId="03982A9B" w14:textId="71138CCA">
      <w:pPr>
        <w:rPr>
          <w:color w:val="auto"/>
          <w:sz w:val="20"/>
          <w:szCs w:val="20"/>
        </w:rPr>
      </w:pPr>
      <w:r w:rsidRPr="1A78AAC8" w:rsidR="1A78AAC8">
        <w:rPr>
          <w:color w:val="auto"/>
          <w:sz w:val="20"/>
          <w:szCs w:val="20"/>
        </w:rPr>
        <w:t>Notes:</w:t>
      </w:r>
    </w:p>
    <w:p w:rsidR="1A78AAC8" w:rsidP="1A78AAC8" w:rsidRDefault="1A78AAC8" w14:paraId="6B75521C" w14:textId="55789ADF">
      <w:pPr>
        <w:pStyle w:val="ListParagraph"/>
        <w:numPr>
          <w:ilvl w:val="0"/>
          <w:numId w:val="2"/>
        </w:numPr>
        <w:rPr>
          <w:rFonts w:ascii="Calibri" w:hAnsi="Calibri" w:eastAsia="Calibri" w:cs="Calibri" w:asciiTheme="minorAscii" w:hAnsiTheme="minorAscii" w:eastAsiaTheme="minorAscii" w:cstheme="minorAscii"/>
          <w:noProof w:val="0"/>
          <w:color w:val="auto"/>
          <w:sz w:val="18"/>
          <w:szCs w:val="18"/>
          <w:lang w:val="en-US"/>
        </w:rPr>
      </w:pPr>
      <w:hyperlink r:id="Ref3c8d96561e41f3">
        <w:r w:rsidRPr="1A78AAC8" w:rsidR="1A78AAC8">
          <w:rPr>
            <w:rStyle w:val="Hyperlink"/>
            <w:noProof w:val="0"/>
            <w:sz w:val="18"/>
            <w:szCs w:val="18"/>
            <w:lang w:val="en-US"/>
          </w:rPr>
          <w:t>https://time.com/5786710/kimberle-crenshaw-intersectionality/</w:t>
        </w:r>
      </w:hyperlink>
      <w:r w:rsidRPr="1A78AAC8" w:rsidR="1A78AAC8">
        <w:rPr>
          <w:noProof w:val="0"/>
          <w:sz w:val="18"/>
          <w:szCs w:val="18"/>
          <w:lang w:val="en-US"/>
        </w:rPr>
        <w:t xml:space="preserve"> </w:t>
      </w:r>
    </w:p>
    <w:p w:rsidR="0039426D" w:rsidP="64B8BDD0" w:rsidRDefault="0039426D" w14:paraId="29091EDD" w14:textId="12D171CB">
      <w:pPr>
        <w:pStyle w:val="ListParagraph"/>
        <w:numPr>
          <w:ilvl w:val="0"/>
          <w:numId w:val="2"/>
        </w:numPr>
        <w:rPr>
          <w:rFonts w:ascii="Calibri" w:hAnsi="Calibri" w:eastAsia="Calibri" w:cs="Calibri" w:asciiTheme="minorAscii" w:hAnsiTheme="minorAscii" w:eastAsiaTheme="minorAscii" w:cstheme="minorAscii"/>
          <w:noProof w:val="0"/>
          <w:color w:val="auto"/>
          <w:sz w:val="20"/>
          <w:szCs w:val="20"/>
          <w:lang w:val="en-US"/>
        </w:rPr>
      </w:pPr>
      <w:hyperlink r:id="R1be6028ba5aa43f3">
        <w:r w:rsidRPr="1A78AAC8" w:rsidR="1A78AAC8">
          <w:rPr>
            <w:rStyle w:val="Hyperlink"/>
            <w:rFonts w:ascii="Calibri" w:hAnsi="Calibri" w:eastAsia="Calibri" w:cs="Calibri"/>
            <w:strike w:val="0"/>
            <w:dstrike w:val="0"/>
            <w:noProof w:val="0"/>
            <w:sz w:val="18"/>
            <w:szCs w:val="18"/>
            <w:lang w:val="en-US"/>
          </w:rPr>
          <w:t>https://www.hdrinc.com/insights/6-things-know-about-regenerative-design</w:t>
        </w:r>
      </w:hyperlink>
    </w:p>
    <w:sectPr w:rsidRPr="0039426D" w:rsidR="0039426D">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496E" w:rsidP="007432D3" w:rsidRDefault="0001496E" w14:paraId="707B00C1" w14:textId="77777777">
      <w:r>
        <w:separator/>
      </w:r>
    </w:p>
  </w:endnote>
  <w:endnote w:type="continuationSeparator" w:id="0">
    <w:p w:rsidR="0001496E" w:rsidP="007432D3" w:rsidRDefault="0001496E" w14:paraId="4D8224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432D3" w:rsidR="007432D3" w:rsidRDefault="007432D3" w14:paraId="7FD6005A" w14:textId="72956EA4">
    <w:pPr>
      <w:pStyle w:val="Footer"/>
      <w:rPr>
        <w:sz w:val="18"/>
        <w:szCs w:val="18"/>
      </w:rPr>
    </w:pPr>
    <w:r w:rsidRPr="007432D3">
      <w:rPr>
        <w:sz w:val="18"/>
        <w:szCs w:val="18"/>
      </w:rPr>
      <w:fldChar w:fldCharType="begin"/>
    </w:r>
    <w:r w:rsidRPr="007432D3">
      <w:rPr>
        <w:sz w:val="18"/>
        <w:szCs w:val="18"/>
      </w:rPr>
      <w:instrText xml:space="preserve"> FILENAME \* MERGEFORMAT </w:instrText>
    </w:r>
    <w:r w:rsidRPr="007432D3">
      <w:rPr>
        <w:sz w:val="18"/>
        <w:szCs w:val="18"/>
      </w:rPr>
      <w:fldChar w:fldCharType="separate"/>
    </w:r>
    <w:r w:rsidR="00DD6EF4">
      <w:rPr>
        <w:noProof/>
        <w:sz w:val="18"/>
        <w:szCs w:val="18"/>
      </w:rPr>
      <w:t>Draft Mission Statement 031722.docx</w:t>
    </w:r>
    <w:r w:rsidRPr="007432D3">
      <w:rPr>
        <w:sz w:val="18"/>
        <w:szCs w:val="18"/>
      </w:rPr>
      <w:fldChar w:fldCharType="end"/>
    </w:r>
    <w:r w:rsidR="00DD6EF4">
      <w:rPr>
        <w:sz w:val="18"/>
        <w:szCs w:val="18"/>
      </w:rPr>
      <w:tab/>
    </w:r>
    <w:r w:rsidR="00DD6EF4">
      <w:rPr>
        <w:sz w:val="18"/>
        <w:szCs w:val="18"/>
      </w:rPr>
      <w:tab/>
    </w:r>
    <w:r w:rsidR="00DD6EF4">
      <w:rPr>
        <w:sz w:val="18"/>
        <w:szCs w:val="18"/>
      </w:rPr>
      <w:t>Page 1</w:t>
    </w:r>
  </w:p>
  <w:p w:rsidR="007432D3" w:rsidRDefault="007432D3" w14:paraId="0D7BAB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496E" w:rsidP="007432D3" w:rsidRDefault="0001496E" w14:paraId="3B9356AF" w14:textId="77777777">
      <w:r>
        <w:separator/>
      </w:r>
    </w:p>
  </w:footnote>
  <w:footnote w:type="continuationSeparator" w:id="0">
    <w:p w:rsidR="0001496E" w:rsidP="007432D3" w:rsidRDefault="0001496E" w14:paraId="7DF68E0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79A2C90"/>
    <w:multiLevelType w:val="hybridMultilevel"/>
    <w:tmpl w:val="E30E2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0E3229"/>
    <w:multiLevelType w:val="hybridMultilevel"/>
    <w:tmpl w:val="34DC62CA"/>
    <w:lvl w:ilvl="0">
      <w:start w:val="1"/>
      <w:numFmt w:val="decimal"/>
      <w:lvlText w:val="(%1)"/>
      <w:lvlJc w:val="left"/>
      <w:pPr>
        <w:ind w:left="72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
    <w:abstractNumId w:val="3"/>
  </w:num>
  <w:num w:numId="3">
    <w:abstractNumId w:val="2"/>
  </w: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NjEzsbQwMTM2NDdQ0lEKTi0uzszPAykwrgUAqGOF1SwAAAA="/>
  </w:docVars>
  <w:rsids>
    <w:rsidRoot w:val="00615EA6"/>
    <w:rsid w:val="0001496E"/>
    <w:rsid w:val="000C61BC"/>
    <w:rsid w:val="0039426D"/>
    <w:rsid w:val="003D18E5"/>
    <w:rsid w:val="00492F22"/>
    <w:rsid w:val="004C3CA1"/>
    <w:rsid w:val="005C3164"/>
    <w:rsid w:val="00615EA6"/>
    <w:rsid w:val="006D63D3"/>
    <w:rsid w:val="007432D3"/>
    <w:rsid w:val="00761C5A"/>
    <w:rsid w:val="008C4462"/>
    <w:rsid w:val="009035C2"/>
    <w:rsid w:val="00A21A1C"/>
    <w:rsid w:val="00B329DA"/>
    <w:rsid w:val="00BE119D"/>
    <w:rsid w:val="00CD23A8"/>
    <w:rsid w:val="00CD7DC0"/>
    <w:rsid w:val="00D40C81"/>
    <w:rsid w:val="00D96CCA"/>
    <w:rsid w:val="00DD6EF4"/>
    <w:rsid w:val="1A78AAC8"/>
    <w:rsid w:val="26DBE9DD"/>
    <w:rsid w:val="4F3F0DB2"/>
    <w:rsid w:val="575EA7FA"/>
    <w:rsid w:val="64B8BDD0"/>
    <w:rsid w:val="6AB8F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C8E8"/>
  <w15:chartTrackingRefBased/>
  <w15:docId w15:val="{E84A9FA2-6AE1-478C-B711-41776A16CF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1">
    <w:name w:val="x_msonormal"/>
    <w:basedOn w:val="Normal"/>
    <w:rsid w:val="00492F22"/>
    <w:rPr>
      <w:rFonts w:ascii="Calibri" w:hAnsi="Calibri" w:cs="Calibri" w:eastAsiaTheme="minorEastAsia"/>
    </w:rPr>
  </w:style>
  <w:style w:type="paragraph" w:styleId="Header">
    <w:name w:val="header"/>
    <w:basedOn w:val="Normal"/>
    <w:link w:val="HeaderChar"/>
    <w:uiPriority w:val="99"/>
    <w:unhideWhenUsed/>
    <w:rsid w:val="007432D3"/>
    <w:pPr>
      <w:tabs>
        <w:tab w:val="center" w:pos="4680"/>
        <w:tab w:val="right" w:pos="9360"/>
      </w:tabs>
    </w:pPr>
  </w:style>
  <w:style w:type="character" w:styleId="HeaderChar" w:customStyle="1">
    <w:name w:val="Header Char"/>
    <w:basedOn w:val="DefaultParagraphFont"/>
    <w:link w:val="Header"/>
    <w:uiPriority w:val="99"/>
    <w:rsid w:val="007432D3"/>
  </w:style>
  <w:style w:type="paragraph" w:styleId="Footer">
    <w:name w:val="footer"/>
    <w:basedOn w:val="Normal"/>
    <w:link w:val="FooterChar"/>
    <w:uiPriority w:val="99"/>
    <w:unhideWhenUsed/>
    <w:rsid w:val="007432D3"/>
    <w:pPr>
      <w:tabs>
        <w:tab w:val="center" w:pos="4680"/>
        <w:tab w:val="right" w:pos="9360"/>
      </w:tabs>
    </w:pPr>
  </w:style>
  <w:style w:type="character" w:styleId="FooterChar" w:customStyle="1">
    <w:name w:val="Footer Char"/>
    <w:basedOn w:val="DefaultParagraphFont"/>
    <w:link w:val="Footer"/>
    <w:uiPriority w:val="99"/>
    <w:rsid w:val="007432D3"/>
  </w:style>
  <w:style w:type="paragraph" w:styleId="ListParagraph">
    <w:name w:val="List Paragraph"/>
    <w:basedOn w:val="Normal"/>
    <w:uiPriority w:val="34"/>
    <w:qFormat/>
    <w:rsid w:val="003D18E5"/>
    <w:pPr>
      <w:ind w:left="720"/>
      <w:contextualSpacing/>
    </w:pPr>
  </w:style>
  <w:style w:type="character" w:styleId="Hyperlink">
    <w:name w:val="Hyperlink"/>
    <w:basedOn w:val="DefaultParagraphFont"/>
    <w:uiPriority w:val="99"/>
    <w:unhideWhenUsed/>
    <w:rsid w:val="0039426D"/>
    <w:rPr>
      <w:color w:val="0563C1" w:themeColor="hyperlink"/>
      <w:u w:val="single"/>
    </w:rPr>
  </w:style>
  <w:style w:type="character" w:styleId="UnresolvedMention">
    <w:name w:val="Unresolved Mention"/>
    <w:basedOn w:val="DefaultParagraphFont"/>
    <w:uiPriority w:val="99"/>
    <w:semiHidden/>
    <w:unhideWhenUsed/>
    <w:rsid w:val="00394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s://time.com/5786710/kimberle-crenshaw-intersectionality/" TargetMode="External" Id="Ref3c8d96561e41f3" /><Relationship Type="http://schemas.openxmlformats.org/officeDocument/2006/relationships/hyperlink" Target="https://www.hdrinc.com/insights/6-things-know-about-regenerative-design" TargetMode="External" Id="R1be6028ba5aa43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 Sullivan</dc:creator>
  <keywords/>
  <dc:description/>
  <lastModifiedBy>Guest User</lastModifiedBy>
  <revision>8</revision>
  <dcterms:created xsi:type="dcterms:W3CDTF">2022-03-21T22:26:00.0000000Z</dcterms:created>
  <dcterms:modified xsi:type="dcterms:W3CDTF">2022-03-31T20:15:03.8227464Z</dcterms:modified>
</coreProperties>
</file>